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24" w:lineRule="auto"/>
        <w:jc w:val="center"/>
        <w:rPr>
          <w:rFonts w:hint="eastAsia" w:ascii="黑体" w:hAnsi="黑体" w:eastAsia="黑体"/>
          <w:b/>
          <w:color w:val="000000"/>
          <w:sz w:val="44"/>
          <w:highlight w:val="white"/>
        </w:rPr>
      </w:pPr>
      <w:r>
        <w:rPr>
          <w:rFonts w:hint="eastAsia" w:ascii="黑体" w:eastAsia="黑体"/>
          <w:b/>
          <w:color w:val="000000"/>
          <w:sz w:val="44"/>
        </w:rPr>
        <w:t>遂昌县</w:t>
      </w:r>
      <w:r>
        <w:rPr>
          <w:rFonts w:hint="eastAsia" w:ascii="黑体" w:eastAsia="黑体"/>
          <w:b/>
          <w:color w:val="000000"/>
          <w:sz w:val="44"/>
          <w:lang w:eastAsia="zh-CN"/>
        </w:rPr>
        <w:t>公务用车服务</w:t>
      </w:r>
      <w:r>
        <w:rPr>
          <w:rFonts w:hint="eastAsia" w:ascii="黑体" w:eastAsia="黑体"/>
          <w:b/>
          <w:color w:val="000000"/>
          <w:sz w:val="44"/>
        </w:rPr>
        <w:t>中心</w:t>
      </w:r>
      <w:r>
        <w:rPr>
          <w:rFonts w:hint="eastAsia" w:ascii="黑体" w:hAnsi="黑体" w:eastAsia="黑体"/>
          <w:b/>
          <w:color w:val="000000"/>
          <w:sz w:val="44"/>
          <w:highlight w:val="white"/>
        </w:rPr>
        <w:t>202</w:t>
      </w:r>
      <w:r>
        <w:rPr>
          <w:rFonts w:hint="eastAsia" w:ascii="黑体" w:hAnsi="黑体" w:eastAsia="黑体"/>
          <w:b/>
          <w:color w:val="000000"/>
          <w:sz w:val="44"/>
          <w:highlight w:val="white"/>
          <w:lang w:val="en-US" w:eastAsia="zh-CN"/>
        </w:rPr>
        <w:t>1</w:t>
      </w:r>
      <w:r>
        <w:rPr>
          <w:rFonts w:hint="eastAsia" w:ascii="黑体" w:hAnsi="黑体" w:eastAsia="黑体"/>
          <w:b/>
          <w:color w:val="000000"/>
          <w:sz w:val="44"/>
          <w:highlight w:val="white"/>
        </w:rPr>
        <w:t>年度</w:t>
      </w:r>
    </w:p>
    <w:p>
      <w:pPr>
        <w:spacing w:beforeLines="0" w:afterLines="0" w:line="324" w:lineRule="auto"/>
        <w:jc w:val="center"/>
        <w:rPr>
          <w:rFonts w:hint="eastAsia" w:ascii="黑体" w:hAnsi="黑体" w:eastAsia="黑体"/>
          <w:b/>
          <w:color w:val="000000"/>
          <w:sz w:val="44"/>
          <w:highlight w:val="white"/>
        </w:rPr>
      </w:pPr>
      <w:r>
        <w:rPr>
          <w:rFonts w:hint="eastAsia" w:ascii="黑体" w:hAnsi="黑体" w:eastAsia="黑体"/>
          <w:b/>
          <w:color w:val="000000"/>
          <w:sz w:val="44"/>
          <w:highlight w:val="white"/>
        </w:rPr>
        <w:t>部门决算目录</w:t>
      </w:r>
    </w:p>
    <w:p>
      <w:pPr>
        <w:spacing w:beforeLines="0" w:afterLines="0" w:line="324" w:lineRule="auto"/>
        <w:jc w:val="left"/>
        <w:rPr>
          <w:rFonts w:hint="eastAsia" w:ascii="仿宋" w:hAnsi="仿宋" w:eastAsia="仿宋"/>
          <w:b/>
          <w:color w:val="000000"/>
          <w:sz w:val="24"/>
          <w:szCs w:val="24"/>
          <w:highlight w:val="white"/>
        </w:rPr>
      </w:pPr>
      <w:r>
        <w:rPr>
          <w:rFonts w:hint="eastAsia" w:ascii="仿宋" w:hAnsi="仿宋" w:eastAsia="仿宋"/>
          <w:b/>
          <w:color w:val="000000"/>
          <w:sz w:val="24"/>
          <w:szCs w:val="24"/>
          <w:highlight w:val="white"/>
        </w:rPr>
        <w:t>一、概况....................................</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rPr>
        <w:t>..</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rPr>
        <w:t>....(</w:t>
      </w:r>
      <w:r>
        <w:rPr>
          <w:rFonts w:hint="eastAsia" w:ascii="仿宋" w:hAnsi="仿宋" w:eastAsia="仿宋"/>
          <w:b/>
          <w:color w:val="000000"/>
          <w:sz w:val="24"/>
          <w:szCs w:val="24"/>
          <w:highlight w:val="white"/>
          <w:lang w:val="en-US" w:eastAsia="zh-CN"/>
        </w:rPr>
        <w:t xml:space="preserve"> 2 </w:t>
      </w:r>
      <w:r>
        <w:rPr>
          <w:rFonts w:hint="eastAsia" w:ascii="仿宋" w:hAnsi="仿宋" w:eastAsia="仿宋"/>
          <w:b/>
          <w:color w:val="000000"/>
          <w:sz w:val="24"/>
          <w:szCs w:val="24"/>
          <w:highlight w:val="white"/>
        </w:rPr>
        <w:t>)</w:t>
      </w:r>
    </w:p>
    <w:p>
      <w:pPr>
        <w:spacing w:beforeLines="0" w:afterLines="0" w:line="324" w:lineRule="auto"/>
        <w:jc w:val="left"/>
        <w:rPr>
          <w:rFonts w:hint="eastAsia" w:ascii="仿宋" w:hAnsi="仿宋" w:eastAsia="仿宋"/>
          <w:b/>
          <w:color w:val="000000"/>
          <w:sz w:val="24"/>
          <w:szCs w:val="24"/>
          <w:highlight w:val="white"/>
        </w:rPr>
      </w:pPr>
      <w:r>
        <w:rPr>
          <w:rFonts w:hint="eastAsia" w:ascii="仿宋" w:hAnsi="仿宋" w:eastAsia="仿宋"/>
          <w:b/>
          <w:color w:val="000000"/>
          <w:sz w:val="24"/>
          <w:szCs w:val="24"/>
          <w:highlight w:val="white"/>
        </w:rPr>
        <w:t>（一）部门（单位）职责.......................</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rPr>
        <w:t xml:space="preserve">......( </w:t>
      </w:r>
      <w:r>
        <w:rPr>
          <w:rFonts w:hint="eastAsia" w:ascii="仿宋" w:hAnsi="仿宋" w:eastAsia="仿宋"/>
          <w:b/>
          <w:color w:val="000000"/>
          <w:sz w:val="24"/>
          <w:szCs w:val="24"/>
          <w:highlight w:val="white"/>
          <w:lang w:val="en-US" w:eastAsia="zh-CN"/>
        </w:rPr>
        <w:t>2</w:t>
      </w:r>
      <w:r>
        <w:rPr>
          <w:rFonts w:hint="eastAsia" w:ascii="仿宋" w:hAnsi="仿宋" w:eastAsia="仿宋"/>
          <w:b/>
          <w:color w:val="000000"/>
          <w:sz w:val="24"/>
          <w:szCs w:val="24"/>
          <w:highlight w:val="white"/>
        </w:rPr>
        <w:t xml:space="preserve"> )</w:t>
      </w:r>
    </w:p>
    <w:p>
      <w:pPr>
        <w:spacing w:beforeLines="0" w:afterLines="0" w:line="324" w:lineRule="auto"/>
        <w:jc w:val="left"/>
        <w:rPr>
          <w:rFonts w:hint="eastAsia" w:ascii="仿宋" w:hAnsi="仿宋" w:eastAsia="仿宋"/>
          <w:b/>
          <w:color w:val="000000"/>
          <w:sz w:val="24"/>
          <w:szCs w:val="24"/>
          <w:highlight w:val="white"/>
        </w:rPr>
      </w:pPr>
      <w:r>
        <w:rPr>
          <w:rFonts w:hint="eastAsia" w:ascii="仿宋" w:hAnsi="仿宋" w:eastAsia="仿宋"/>
          <w:b/>
          <w:color w:val="000000"/>
          <w:sz w:val="24"/>
          <w:szCs w:val="24"/>
          <w:highlight w:val="white"/>
        </w:rPr>
        <w:t xml:space="preserve">（二）机构设置......................................( </w:t>
      </w:r>
      <w:r>
        <w:rPr>
          <w:rFonts w:hint="eastAsia" w:ascii="仿宋" w:hAnsi="仿宋" w:eastAsia="仿宋"/>
          <w:b/>
          <w:color w:val="000000"/>
          <w:sz w:val="24"/>
          <w:szCs w:val="24"/>
          <w:highlight w:val="white"/>
          <w:lang w:val="en-US" w:eastAsia="zh-CN"/>
        </w:rPr>
        <w:t xml:space="preserve">2 </w:t>
      </w:r>
      <w:r>
        <w:rPr>
          <w:rFonts w:hint="eastAsia" w:ascii="仿宋" w:hAnsi="仿宋" w:eastAsia="仿宋"/>
          <w:b/>
          <w:color w:val="000000"/>
          <w:sz w:val="24"/>
          <w:szCs w:val="24"/>
          <w:highlight w:val="white"/>
        </w:rPr>
        <w:t>)</w:t>
      </w:r>
    </w:p>
    <w:p>
      <w:pPr>
        <w:spacing w:beforeLines="0" w:afterLines="0" w:line="324" w:lineRule="auto"/>
        <w:jc w:val="left"/>
        <w:rPr>
          <w:rFonts w:hint="eastAsia" w:ascii="仿宋" w:hAnsi="仿宋" w:eastAsia="仿宋"/>
          <w:b/>
          <w:color w:val="000000"/>
          <w:sz w:val="24"/>
          <w:szCs w:val="24"/>
          <w:highlight w:val="white"/>
        </w:rPr>
      </w:pPr>
      <w:r>
        <w:rPr>
          <w:rFonts w:hint="eastAsia" w:ascii="仿宋" w:hAnsi="仿宋" w:eastAsia="仿宋"/>
          <w:b/>
          <w:color w:val="000000"/>
          <w:sz w:val="24"/>
          <w:szCs w:val="24"/>
          <w:highlight w:val="white"/>
        </w:rPr>
        <w:t>二、202</w:t>
      </w:r>
      <w:r>
        <w:rPr>
          <w:rFonts w:hint="eastAsia" w:ascii="仿宋" w:hAnsi="仿宋" w:eastAsia="仿宋"/>
          <w:b/>
          <w:color w:val="000000"/>
          <w:sz w:val="24"/>
          <w:szCs w:val="24"/>
          <w:highlight w:val="white"/>
          <w:lang w:val="en-US" w:eastAsia="zh-CN"/>
        </w:rPr>
        <w:t>1</w:t>
      </w:r>
      <w:r>
        <w:rPr>
          <w:rFonts w:hint="eastAsia" w:ascii="仿宋" w:hAnsi="仿宋" w:eastAsia="仿宋"/>
          <w:b/>
          <w:color w:val="000000"/>
          <w:sz w:val="24"/>
          <w:szCs w:val="24"/>
          <w:highlight w:val="white"/>
        </w:rPr>
        <w:t>年度部门（单位）决算公开表.............</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rPr>
        <w:t xml:space="preserve">...( </w:t>
      </w:r>
      <w:r>
        <w:rPr>
          <w:rFonts w:hint="eastAsia" w:ascii="仿宋" w:hAnsi="仿宋" w:eastAsia="仿宋"/>
          <w:b/>
          <w:color w:val="000000"/>
          <w:sz w:val="24"/>
          <w:szCs w:val="24"/>
          <w:highlight w:val="white"/>
          <w:lang w:val="en-US" w:eastAsia="zh-CN"/>
        </w:rPr>
        <w:t>2</w:t>
      </w:r>
      <w:r>
        <w:rPr>
          <w:rFonts w:hint="eastAsia" w:ascii="仿宋" w:hAnsi="仿宋" w:eastAsia="仿宋"/>
          <w:b/>
          <w:color w:val="000000"/>
          <w:sz w:val="24"/>
          <w:szCs w:val="24"/>
          <w:highlight w:val="white"/>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zh-CN"/>
        </w:rPr>
        <w:t>三、</w:t>
      </w:r>
      <w:r>
        <w:rPr>
          <w:rFonts w:hint="eastAsia" w:ascii="仿宋" w:hAnsi="仿宋" w:eastAsia="仿宋"/>
          <w:b/>
          <w:color w:val="000000"/>
          <w:sz w:val="24"/>
          <w:szCs w:val="24"/>
          <w:highlight w:val="white"/>
          <w:lang w:val="en-US"/>
        </w:rPr>
        <w:t>202</w:t>
      </w:r>
      <w:r>
        <w:rPr>
          <w:rFonts w:hint="eastAsia" w:ascii="仿宋" w:hAnsi="仿宋" w:eastAsia="仿宋"/>
          <w:b/>
          <w:color w:val="000000"/>
          <w:sz w:val="24"/>
          <w:szCs w:val="24"/>
          <w:highlight w:val="white"/>
          <w:lang w:val="en-US" w:eastAsia="zh-CN"/>
        </w:rPr>
        <w:t>1</w:t>
      </w:r>
      <w:r>
        <w:rPr>
          <w:rFonts w:hint="eastAsia" w:ascii="仿宋" w:hAnsi="仿宋" w:eastAsia="仿宋"/>
          <w:b/>
          <w:color w:val="000000"/>
          <w:sz w:val="24"/>
          <w:szCs w:val="24"/>
          <w:highlight w:val="white"/>
          <w:lang w:val="en-US"/>
        </w:rPr>
        <w:t>年度部门（单位）决算情况说明.....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2</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（一）收入支出决算总体情况说明...........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w:t>
      </w:r>
      <w:r>
        <w:rPr>
          <w:rFonts w:hint="eastAsia" w:ascii="仿宋" w:hAnsi="仿宋" w:eastAsia="仿宋"/>
          <w:b/>
          <w:color w:val="000000"/>
          <w:sz w:val="24"/>
          <w:szCs w:val="24"/>
          <w:highlight w:val="white"/>
          <w:lang w:val="en-US" w:eastAsia="zh-CN"/>
        </w:rPr>
        <w:t>3</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（二）收入决算情况说明....................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3</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（三）支出决算情况说明.......................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3</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 xml:space="preserve">（四）财政拨款收入支出决算总体情况说明.......................( </w:t>
      </w:r>
      <w:r>
        <w:rPr>
          <w:rFonts w:hint="eastAsia" w:ascii="仿宋" w:hAnsi="仿宋" w:eastAsia="仿宋"/>
          <w:b/>
          <w:color w:val="000000"/>
          <w:sz w:val="24"/>
          <w:szCs w:val="24"/>
          <w:highlight w:val="white"/>
          <w:lang w:val="en-US" w:eastAsia="zh-CN"/>
        </w:rPr>
        <w:t>3</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 xml:space="preserve">（五）一般公共预算财政拨款支出决算情况说明...................( </w:t>
      </w:r>
      <w:r>
        <w:rPr>
          <w:rFonts w:hint="eastAsia" w:ascii="仿宋" w:hAnsi="仿宋" w:eastAsia="仿宋"/>
          <w:b/>
          <w:color w:val="000000"/>
          <w:sz w:val="24"/>
          <w:szCs w:val="24"/>
          <w:highlight w:val="white"/>
          <w:lang w:val="en-US" w:eastAsia="zh-CN"/>
        </w:rPr>
        <w:t>4</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（六）一般公共预算财政拨款基本支出决算情况说明..........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5</w:t>
      </w:r>
      <w:r>
        <w:rPr>
          <w:rFonts w:hint="eastAsia" w:ascii="仿宋" w:hAnsi="仿宋" w:eastAsia="仿宋"/>
          <w:b/>
          <w:color w:val="000000"/>
          <w:sz w:val="24"/>
          <w:szCs w:val="24"/>
          <w:highlight w:val="white"/>
          <w:lang w:val="en-US"/>
        </w:rPr>
        <w:t>)</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（七）政府性基金预算财政拨款支出</w:t>
      </w:r>
      <w:r>
        <w:rPr>
          <w:rFonts w:hint="eastAsia" w:ascii="仿宋" w:hAnsi="仿宋" w:eastAsia="仿宋"/>
          <w:b/>
          <w:color w:val="000000"/>
          <w:sz w:val="24"/>
          <w:szCs w:val="24"/>
          <w:highlight w:val="white"/>
          <w:lang w:val="zh-CN"/>
        </w:rPr>
        <w:t>决算</w:t>
      </w:r>
      <w:r>
        <w:rPr>
          <w:rFonts w:hint="eastAsia" w:ascii="仿宋" w:hAnsi="仿宋" w:eastAsia="仿宋"/>
          <w:b/>
          <w:color w:val="000000"/>
          <w:sz w:val="24"/>
          <w:szCs w:val="24"/>
          <w:highlight w:val="white"/>
          <w:lang w:val="en-US"/>
        </w:rPr>
        <w:t xml:space="preserve">总体情况说明.............( </w:t>
      </w:r>
      <w:r>
        <w:rPr>
          <w:rFonts w:hint="eastAsia" w:ascii="仿宋" w:hAnsi="仿宋" w:eastAsia="仿宋"/>
          <w:b/>
          <w:color w:val="000000"/>
          <w:sz w:val="24"/>
          <w:szCs w:val="24"/>
          <w:highlight w:val="white"/>
          <w:lang w:val="en-US" w:eastAsia="zh-CN"/>
        </w:rPr>
        <w:t>5</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（八）国有资本经营预算财政拨款支出</w:t>
      </w:r>
      <w:r>
        <w:rPr>
          <w:rFonts w:hint="eastAsia" w:ascii="仿宋" w:hAnsi="仿宋" w:eastAsia="仿宋"/>
          <w:b/>
          <w:color w:val="000000"/>
          <w:sz w:val="24"/>
          <w:szCs w:val="24"/>
          <w:highlight w:val="white"/>
          <w:lang w:val="zh-CN"/>
        </w:rPr>
        <w:t>决算</w:t>
      </w:r>
      <w:r>
        <w:rPr>
          <w:rFonts w:hint="eastAsia" w:ascii="仿宋" w:hAnsi="仿宋" w:eastAsia="仿宋"/>
          <w:b/>
          <w:color w:val="000000"/>
          <w:sz w:val="24"/>
          <w:szCs w:val="24"/>
          <w:highlight w:val="white"/>
          <w:lang w:val="en-US"/>
        </w:rPr>
        <w:t>总体情况说明......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7</w:t>
      </w:r>
      <w:r>
        <w:rPr>
          <w:rFonts w:hint="eastAsia" w:ascii="仿宋" w:hAnsi="仿宋" w:eastAsia="仿宋"/>
          <w:b/>
          <w:color w:val="000000"/>
          <w:sz w:val="24"/>
          <w:szCs w:val="24"/>
          <w:highlight w:val="white"/>
          <w:lang w:val="en-US"/>
        </w:rPr>
        <w:t>)</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（九）一般公共预算财政拨款“三公”经费支出决算情况说明..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 xml:space="preserve">7 </w:t>
      </w:r>
      <w:r>
        <w:rPr>
          <w:rFonts w:hint="eastAsia" w:ascii="仿宋" w:hAnsi="仿宋" w:eastAsia="仿宋"/>
          <w:b/>
          <w:color w:val="000000"/>
          <w:sz w:val="24"/>
          <w:szCs w:val="24"/>
          <w:highlight w:val="white"/>
          <w:lang w:val="en-US"/>
        </w:rPr>
        <w:t>)</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（十）机关运行经费支出说明..............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9</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 xml:space="preserve">（十一）政府采购支出说明.....................................( </w:t>
      </w:r>
      <w:r>
        <w:rPr>
          <w:rFonts w:hint="eastAsia" w:ascii="仿宋" w:hAnsi="仿宋" w:eastAsia="仿宋"/>
          <w:b/>
          <w:color w:val="000000"/>
          <w:sz w:val="24"/>
          <w:szCs w:val="24"/>
          <w:highlight w:val="white"/>
          <w:lang w:val="en-US" w:eastAsia="zh-CN"/>
        </w:rPr>
        <w:t>9</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（十二）国有资产占有情况说明..........................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10</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（十三）预算绩效情况说明...................</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10</w:t>
      </w:r>
      <w:r>
        <w:rPr>
          <w:rFonts w:hint="eastAsia" w:ascii="仿宋" w:hAnsi="仿宋" w:eastAsia="仿宋"/>
          <w:b/>
          <w:color w:val="000000"/>
          <w:sz w:val="24"/>
          <w:szCs w:val="24"/>
          <w:highlight w:val="white"/>
          <w:lang w:val="en-US"/>
        </w:rPr>
        <w:t xml:space="preserve"> )</w:t>
      </w:r>
    </w:p>
    <w:p>
      <w:pPr>
        <w:spacing w:beforeLines="0" w:afterLines="0" w:line="324" w:lineRule="auto"/>
        <w:jc w:val="left"/>
        <w:rPr>
          <w:rFonts w:hint="eastAsia" w:ascii="仿宋" w:hAnsi="仿宋" w:eastAsia="仿宋"/>
          <w:b/>
          <w:color w:val="000000"/>
          <w:sz w:val="24"/>
          <w:szCs w:val="24"/>
          <w:highlight w:val="white"/>
          <w:lang w:val="en-US"/>
        </w:rPr>
      </w:pPr>
      <w:r>
        <w:rPr>
          <w:rFonts w:hint="eastAsia" w:ascii="仿宋" w:hAnsi="仿宋" w:eastAsia="仿宋"/>
          <w:b/>
          <w:color w:val="000000"/>
          <w:sz w:val="24"/>
          <w:szCs w:val="24"/>
          <w:highlight w:val="white"/>
          <w:lang w:val="en-US"/>
        </w:rPr>
        <w:t>四、名词解释.................</w:t>
      </w:r>
      <w:r>
        <w:rPr>
          <w:rFonts w:hint="eastAsia" w:ascii="仿宋" w:hAnsi="仿宋" w:eastAsia="仿宋"/>
          <w:b/>
          <w:color w:val="000000"/>
          <w:sz w:val="24"/>
          <w:szCs w:val="24"/>
          <w:highlight w:val="white"/>
          <w:lang w:val="en-US" w:eastAsia="zh-CN"/>
        </w:rPr>
        <w:t>.............................</w:t>
      </w:r>
      <w:r>
        <w:rPr>
          <w:rFonts w:hint="eastAsia" w:ascii="仿宋" w:hAnsi="仿宋" w:eastAsia="仿宋"/>
          <w:b/>
          <w:color w:val="000000"/>
          <w:sz w:val="24"/>
          <w:szCs w:val="24"/>
          <w:highlight w:val="white"/>
          <w:lang w:val="en-US"/>
        </w:rPr>
        <w:t xml:space="preserve">...( </w:t>
      </w:r>
      <w:r>
        <w:rPr>
          <w:rFonts w:hint="eastAsia" w:ascii="仿宋" w:hAnsi="仿宋" w:eastAsia="仿宋"/>
          <w:b/>
          <w:color w:val="000000"/>
          <w:sz w:val="24"/>
          <w:szCs w:val="24"/>
          <w:highlight w:val="white"/>
          <w:lang w:val="en-US" w:eastAsia="zh-CN"/>
        </w:rPr>
        <w:t>12</w:t>
      </w:r>
      <w:r>
        <w:rPr>
          <w:rFonts w:hint="eastAsia" w:ascii="仿宋" w:hAnsi="仿宋" w:eastAsia="仿宋"/>
          <w:b/>
          <w:color w:val="000000"/>
          <w:sz w:val="24"/>
          <w:szCs w:val="24"/>
          <w:highlight w:val="white"/>
          <w:lang w:val="en-US"/>
        </w:rPr>
        <w:t xml:space="preserve"> )</w:t>
      </w: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bookmarkStart w:id="0" w:name="_GoBack"/>
      <w:bookmarkEnd w:id="0"/>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p>
    <w:p>
      <w:pPr>
        <w:spacing w:beforeLines="0" w:afterLines="0" w:line="324" w:lineRule="auto"/>
        <w:ind w:firstLine="600"/>
        <w:rPr>
          <w:rFonts w:hint="eastAsia" w:ascii="黑体" w:hAnsi="黑体" w:eastAsia="黑体"/>
          <w:b/>
          <w:color w:val="000000"/>
          <w:sz w:val="32"/>
          <w:highlight w:val="white"/>
          <w:lang w:val="en-US"/>
        </w:rPr>
      </w:pPr>
      <w:r>
        <w:rPr>
          <w:rFonts w:hint="eastAsia" w:ascii="黑体" w:hAnsi="黑体" w:eastAsia="黑体"/>
          <w:b/>
          <w:color w:val="000000"/>
          <w:sz w:val="32"/>
          <w:highlight w:val="white"/>
          <w:lang w:val="en-US"/>
        </w:rPr>
        <w:t>一、概况</w:t>
      </w:r>
    </w:p>
    <w:p>
      <w:pPr>
        <w:autoSpaceDE w:val="0"/>
        <w:autoSpaceDN w:val="0"/>
        <w:adjustRightInd w:val="0"/>
        <w:spacing w:beforeLines="0" w:afterLines="0" w:line="324" w:lineRule="auto"/>
        <w:ind w:firstLine="630" w:firstLineChars="196"/>
        <w:rPr>
          <w:rFonts w:hint="default" w:ascii="楷体" w:hAnsi="Times New Roman" w:eastAsia="楷体"/>
          <w:b/>
          <w:color w:val="000000"/>
          <w:sz w:val="32"/>
          <w:highlight w:val="white"/>
        </w:rPr>
      </w:pPr>
      <w:r>
        <w:rPr>
          <w:rFonts w:hint="eastAsia" w:ascii="楷体" w:hAnsi="Times New Roman" w:eastAsia="楷体"/>
          <w:b/>
          <w:color w:val="000000"/>
          <w:sz w:val="32"/>
          <w:highlight w:val="white"/>
        </w:rPr>
        <w:t>（一）</w:t>
      </w:r>
      <w:r>
        <w:rPr>
          <w:rFonts w:hint="eastAsia" w:ascii="楷体" w:hAnsi="Times New Roman" w:eastAsia="楷体"/>
          <w:b/>
          <w:color w:val="000000"/>
          <w:sz w:val="32"/>
          <w:highlight w:val="white"/>
          <w:lang w:eastAsia="zh-CN"/>
        </w:rPr>
        <w:t>遂昌县公务用车服务中心</w:t>
      </w:r>
      <w:r>
        <w:rPr>
          <w:rFonts w:hint="eastAsia" w:ascii="楷体" w:hAnsi="Times New Roman" w:eastAsia="楷体"/>
          <w:b/>
          <w:color w:val="000000"/>
          <w:sz w:val="32"/>
          <w:highlight w:val="white"/>
        </w:rPr>
        <w:t>主要职责</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_GB2312" w:hAnsi="仿宋_GB2312" w:eastAsia="仿宋_GB2312" w:cs="仿宋_GB2312"/>
          <w:color w:val="auto"/>
          <w:kern w:val="2"/>
          <w:sz w:val="24"/>
          <w:szCs w:val="24"/>
          <w:highlight w:val="none"/>
          <w:lang w:val="en-US" w:eastAsia="zh-CN" w:bidi="ar"/>
        </w:rPr>
        <w:t>1、</w:t>
      </w:r>
      <w:r>
        <w:rPr>
          <w:rFonts w:hint="eastAsia" w:ascii="仿宋" w:hAnsi="Times New Roman" w:eastAsia="仿宋"/>
          <w:color w:val="000000"/>
          <w:sz w:val="32"/>
          <w:highlight w:val="white"/>
          <w:lang w:val="en-US" w:eastAsia="zh-CN"/>
        </w:rPr>
        <w:t>负责公务车辆的集中管理、维修保养、安全运行、实时监控、提出更新计划。</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Times New Roman" w:eastAsia="仿宋"/>
          <w:color w:val="000000"/>
          <w:sz w:val="32"/>
          <w:highlight w:val="white"/>
          <w:lang w:val="en-US" w:eastAsia="zh-CN"/>
        </w:rPr>
        <w:t>2、负责对县直机关重要公务接待、重大集体活动、抢险救灾、应急突发事件处置等应急用车和传送机要文件等机要用车，四套班子领导应急、调研用车以及远程用车的统一调度、派遣服务、成本结算等服务保障工作。</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Times New Roman" w:eastAsia="仿宋"/>
          <w:color w:val="000000"/>
          <w:sz w:val="32"/>
          <w:highlight w:val="white"/>
          <w:lang w:val="en-US" w:eastAsia="zh-CN"/>
        </w:rPr>
        <w:t>3、负责对驾驶员的管理教育、业务培训、检查考核、勤务保障工作，督促驾驶员准时出车、安全行车、文明服务。</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Times New Roman" w:eastAsia="仿宋"/>
          <w:color w:val="000000"/>
          <w:sz w:val="32"/>
          <w:highlight w:val="white"/>
          <w:lang w:val="en-US" w:eastAsia="zh-CN"/>
        </w:rPr>
        <w:t>4、协助完成重大会议及重要公务活动的</w:t>
      </w:r>
      <w:r>
        <w:rPr>
          <w:rFonts w:hint="eastAsia" w:ascii="仿宋" w:hAnsi="Times New Roman" w:eastAsia="仿宋"/>
          <w:color w:val="000000"/>
          <w:sz w:val="32"/>
          <w:highlight w:val="white"/>
          <w:lang w:val="en-US" w:eastAsia="zh-CN"/>
        </w:rPr>
        <w:fldChar w:fldCharType="begin"/>
      </w:r>
      <w:r>
        <w:rPr>
          <w:rFonts w:hint="eastAsia" w:ascii="仿宋" w:hAnsi="Times New Roman" w:eastAsia="仿宋"/>
          <w:color w:val="000000"/>
          <w:sz w:val="32"/>
          <w:highlight w:val="white"/>
          <w:lang w:val="en-US" w:eastAsia="zh-CN"/>
        </w:rPr>
        <w:instrText xml:space="preserve"> HYPERLINK "http://baike.sogou.com/lemma/ShowInnerLink.htm?lemmaId=7698803&amp;ss_c=ssc.citiao.link" \t "_blank" </w:instrText>
      </w:r>
      <w:r>
        <w:rPr>
          <w:rFonts w:hint="eastAsia" w:ascii="仿宋" w:hAnsi="Times New Roman" w:eastAsia="仿宋"/>
          <w:color w:val="000000"/>
          <w:sz w:val="32"/>
          <w:highlight w:val="white"/>
          <w:lang w:val="en-US" w:eastAsia="zh-CN"/>
        </w:rPr>
        <w:fldChar w:fldCharType="separate"/>
      </w:r>
      <w:r>
        <w:rPr>
          <w:rFonts w:hint="eastAsia" w:ascii="仿宋" w:hAnsi="Times New Roman" w:eastAsia="仿宋"/>
          <w:color w:val="000000"/>
          <w:sz w:val="32"/>
          <w:highlight w:val="white"/>
          <w:lang w:val="en-US" w:eastAsia="zh-CN"/>
        </w:rPr>
        <w:t>车辆调度</w:t>
      </w:r>
      <w:r>
        <w:rPr>
          <w:rFonts w:hint="eastAsia" w:ascii="仿宋" w:hAnsi="Times New Roman" w:eastAsia="仿宋"/>
          <w:color w:val="000000"/>
          <w:sz w:val="32"/>
          <w:highlight w:val="white"/>
          <w:lang w:val="en-US" w:eastAsia="zh-CN"/>
        </w:rPr>
        <w:fldChar w:fldCharType="end"/>
      </w:r>
      <w:r>
        <w:rPr>
          <w:rFonts w:hint="eastAsia" w:ascii="仿宋" w:hAnsi="Times New Roman" w:eastAsia="仿宋"/>
          <w:color w:val="000000"/>
          <w:sz w:val="32"/>
          <w:highlight w:val="white"/>
          <w:lang w:val="en-US" w:eastAsia="zh-CN"/>
        </w:rPr>
        <w:t xml:space="preserve">和保障工作。 </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Times New Roman" w:eastAsia="仿宋"/>
          <w:color w:val="000000"/>
          <w:sz w:val="32"/>
          <w:highlight w:val="white"/>
          <w:lang w:val="en-US" w:eastAsia="zh-CN"/>
        </w:rPr>
        <w:t>5、协助监管乡镇（街道）公务用车。</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Times New Roman" w:eastAsia="仿宋"/>
          <w:color w:val="000000"/>
          <w:sz w:val="32"/>
          <w:highlight w:val="white"/>
          <w:lang w:val="en-US" w:eastAsia="zh-CN"/>
        </w:rPr>
        <w:t>6、完成上级交办的其他工作任务。</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（二）机构设置</w:t>
      </w:r>
    </w:p>
    <w:p>
      <w:pPr>
        <w:spacing w:beforeLines="0" w:afterLines="0" w:line="324" w:lineRule="auto"/>
        <w:ind w:firstLine="594"/>
        <w:rPr>
          <w:rFonts w:hint="eastAsia" w:ascii="仿宋" w:hAnsi="Times New Roman" w:eastAsia="仿宋"/>
          <w:color w:val="000000"/>
          <w:sz w:val="32"/>
          <w:highlight w:val="white"/>
          <w:lang w:val="en-US" w:eastAsia="zh-CN"/>
        </w:rPr>
      </w:pPr>
      <w:r>
        <w:rPr>
          <w:rFonts w:hint="eastAsia" w:ascii="仿宋" w:hAnsi="仿宋" w:eastAsia="仿宋"/>
          <w:color w:val="000000"/>
          <w:sz w:val="32"/>
          <w:highlight w:val="white"/>
          <w:lang w:val="en-US"/>
        </w:rPr>
        <w:t>从预算单位构成看，本单位</w:t>
      </w:r>
      <w:r>
        <w:rPr>
          <w:rFonts w:hint="eastAsia" w:ascii="仿宋" w:hAnsi="Times New Roman" w:eastAsia="仿宋"/>
          <w:color w:val="000000"/>
          <w:sz w:val="32"/>
          <w:highlight w:val="white"/>
          <w:lang w:val="en-US" w:eastAsia="zh-CN"/>
        </w:rPr>
        <w:t>下设办公室、调度科、安全机务科三个职能科室，调度科下设二个驾驶分队。</w:t>
      </w:r>
    </w:p>
    <w:p>
      <w:pPr>
        <w:spacing w:beforeLines="0" w:afterLines="0" w:line="324" w:lineRule="auto"/>
        <w:ind w:firstLine="600"/>
        <w:rPr>
          <w:rFonts w:hint="eastAsia" w:ascii="黑体" w:hAnsi="黑体" w:eastAsia="黑体"/>
          <w:b/>
          <w:color w:val="000000"/>
          <w:sz w:val="32"/>
          <w:highlight w:val="white"/>
          <w:lang w:val="en-US"/>
        </w:rPr>
      </w:pPr>
      <w:r>
        <w:rPr>
          <w:rFonts w:hint="eastAsia" w:ascii="黑体" w:hAnsi="黑体" w:eastAsia="黑体"/>
          <w:b/>
          <w:color w:val="000000"/>
          <w:sz w:val="32"/>
          <w:highlight w:val="white"/>
          <w:lang w:val="en-US"/>
        </w:rPr>
        <w:t>二、2021年度部门（单位）决算公开表</w:t>
      </w:r>
    </w:p>
    <w:p>
      <w:pPr>
        <w:spacing w:beforeLines="0" w:afterLines="0" w:line="324" w:lineRule="auto"/>
        <w:ind w:firstLine="594"/>
        <w:rPr>
          <w:rFonts w:hint="default" w:ascii="Times New Roman" w:hAnsi="Times New Roman" w:eastAsia="Times New Roman"/>
          <w:color w:val="000000"/>
          <w:sz w:val="32"/>
          <w:highlight w:val="white"/>
          <w:lang w:val="en-US"/>
        </w:rPr>
      </w:pPr>
      <w:r>
        <w:rPr>
          <w:rFonts w:hint="eastAsia" w:ascii="仿宋" w:hAnsi="仿宋" w:eastAsia="仿宋"/>
          <w:color w:val="000000"/>
          <w:sz w:val="32"/>
          <w:highlight w:val="white"/>
          <w:lang w:val="en-US"/>
        </w:rPr>
        <w:t>详见附表</w:t>
      </w:r>
      <w:r>
        <w:rPr>
          <w:rFonts w:hint="eastAsia" w:ascii="仿宋_GB2312" w:hAnsi="仿宋_GB2312" w:eastAsia="仿宋_GB2312"/>
          <w:color w:val="000000"/>
          <w:sz w:val="32"/>
          <w:highlight w:val="white"/>
          <w:lang w:val="en-US"/>
        </w:rPr>
        <w:t>。</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黑体" w:hAnsi="黑体" w:eastAsia="黑体"/>
          <w:b/>
          <w:color w:val="auto"/>
          <w:sz w:val="32"/>
          <w:highlight w:val="white"/>
          <w:lang w:val="zh-CN"/>
        </w:rPr>
        <w:t>三、</w:t>
      </w:r>
      <w:r>
        <w:rPr>
          <w:rFonts w:hint="eastAsia" w:ascii="黑体" w:hAnsi="黑体" w:eastAsia="黑体"/>
          <w:b/>
          <w:color w:val="000000"/>
          <w:sz w:val="32"/>
          <w:highlight w:val="white"/>
          <w:lang w:val="en-US"/>
        </w:rPr>
        <w:t>2021年度部门（单位）决算情况说明</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（一）收入支出决算总体情况说明</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仿宋" w:hAnsi="仿宋" w:eastAsia="仿宋"/>
          <w:color w:val="000000"/>
          <w:sz w:val="32"/>
          <w:highlight w:val="white"/>
          <w:lang w:val="en-US"/>
        </w:rPr>
        <w:t>2021年度收入总计1,655.63万元，支出总计1,655.63万元,与2020年度相比，各增加</w:t>
      </w:r>
      <w:r>
        <w:rPr>
          <w:rFonts w:hint="eastAsia" w:ascii="仿宋" w:hAnsi="仿宋" w:eastAsia="仿宋"/>
          <w:color w:val="000000"/>
          <w:sz w:val="32"/>
          <w:highlight w:val="white"/>
          <w:lang w:val="en-US" w:eastAsia="zh-CN"/>
        </w:rPr>
        <w:t>248.59</w:t>
      </w:r>
      <w:r>
        <w:rPr>
          <w:rFonts w:hint="eastAsia" w:ascii="仿宋" w:hAnsi="仿宋" w:eastAsia="仿宋"/>
          <w:color w:val="000000"/>
          <w:sz w:val="32"/>
          <w:highlight w:val="white"/>
          <w:lang w:val="en-US"/>
        </w:rPr>
        <w:t>万元，增长</w:t>
      </w:r>
      <w:r>
        <w:rPr>
          <w:rFonts w:hint="eastAsia" w:ascii="仿宋" w:hAnsi="仿宋" w:eastAsia="仿宋"/>
          <w:color w:val="000000"/>
          <w:sz w:val="32"/>
          <w:highlight w:val="white"/>
          <w:lang w:val="en-US" w:eastAsia="zh-CN"/>
        </w:rPr>
        <w:t>15.01</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其他工资福利和办公用房租金增加</w:t>
      </w:r>
      <w:r>
        <w:rPr>
          <w:rFonts w:hint="eastAsia" w:ascii="仿宋" w:hAnsi="仿宋" w:eastAsia="仿宋"/>
          <w:color w:val="000000"/>
          <w:sz w:val="32"/>
          <w:highlight w:val="white"/>
          <w:lang w:val="en-US"/>
        </w:rPr>
        <w:t>。</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（二）收入决算情况说明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本年收入合计1,648.98万元；包括财政拨款收入1,648.46万元（其中，一般公共预算1,617.18万元，政府性基金预算31.28万元,国有资本经营预算0万元），占收入合计99.97%；上级补助收入0万元，占收入合计0%；事业收入0万元，占收入合计0%；经营收入0万元，占收入合计0%；附属单位上缴收入0万元，占收入合计0%；其他收入0.52万元，占收入合计0.03%。</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（三）支出决算情况说明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本年支出合计1,655.63万元，其中基本支出1,543.4万元，占93.22%；项目支出112.22万元，占6.78%；上缴上级支出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万元，占0%；经营支出0万元，占0%；对附属单位补助支出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w:t>
      </w:r>
    </w:p>
    <w:p>
      <w:pPr>
        <w:spacing w:beforeLines="0" w:afterLines="0" w:line="324" w:lineRule="auto"/>
        <w:ind w:firstLine="594"/>
        <w:rPr>
          <w:rFonts w:hint="eastAsia" w:ascii="楷体" w:hAnsi="楷体" w:eastAsia="楷体"/>
          <w:b/>
          <w:color w:val="000000"/>
          <w:sz w:val="32"/>
          <w:highlight w:val="white"/>
          <w:lang w:val="en-US"/>
        </w:rPr>
      </w:pPr>
      <w:r>
        <w:rPr>
          <w:rFonts w:hint="eastAsia" w:ascii="楷体" w:hAnsi="楷体" w:eastAsia="楷体"/>
          <w:b/>
          <w:color w:val="000000"/>
          <w:sz w:val="32"/>
          <w:highlight w:val="white"/>
          <w:lang w:val="en-US"/>
        </w:rPr>
        <w:t>（四）财政拨款收入支出决算总体情况说明</w:t>
      </w:r>
    </w:p>
    <w:p>
      <w:pPr>
        <w:spacing w:beforeLines="0" w:afterLines="0" w:line="324" w:lineRule="auto"/>
        <w:ind w:firstLine="594"/>
        <w:rPr>
          <w:rFonts w:hint="eastAsia" w:ascii="仿宋" w:hAnsi="仿宋" w:eastAsia="仿宋"/>
          <w:b/>
          <w:color w:val="000000"/>
          <w:sz w:val="32"/>
          <w:highlight w:val="white"/>
          <w:lang w:val="en-US"/>
        </w:rPr>
      </w:pPr>
      <w:r>
        <w:rPr>
          <w:rFonts w:hint="eastAsia" w:ascii="仿宋" w:hAnsi="仿宋" w:eastAsia="仿宋"/>
          <w:color w:val="000000"/>
          <w:sz w:val="32"/>
          <w:highlight w:val="white"/>
          <w:lang w:val="en-US"/>
        </w:rPr>
        <w:t>2021年度财政拨款收入总计1,648.46万元，支出总计1,648.46万元，与2020年相比，各增加</w:t>
      </w:r>
      <w:r>
        <w:rPr>
          <w:rFonts w:hint="eastAsia" w:ascii="仿宋" w:hAnsi="仿宋" w:eastAsia="仿宋"/>
          <w:color w:val="000000"/>
          <w:sz w:val="32"/>
          <w:highlight w:val="white"/>
          <w:lang w:val="en-US" w:eastAsia="zh-CN"/>
        </w:rPr>
        <w:t>262.42</w:t>
      </w:r>
      <w:r>
        <w:rPr>
          <w:rFonts w:hint="eastAsia" w:ascii="仿宋" w:hAnsi="仿宋" w:eastAsia="仿宋"/>
          <w:color w:val="000000"/>
          <w:sz w:val="32"/>
          <w:highlight w:val="white"/>
          <w:lang w:val="en-US"/>
        </w:rPr>
        <w:t>万元，增长</w:t>
      </w:r>
      <w:r>
        <w:rPr>
          <w:rFonts w:hint="eastAsia" w:ascii="仿宋" w:hAnsi="仿宋" w:eastAsia="仿宋"/>
          <w:color w:val="000000"/>
          <w:sz w:val="32"/>
          <w:highlight w:val="white"/>
          <w:lang w:val="en-US" w:eastAsia="zh-CN"/>
        </w:rPr>
        <w:t>15.92</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其他工资福利和办公用房租金</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财政拨款支出年初预算数</w:t>
      </w:r>
      <w:r>
        <w:rPr>
          <w:rFonts w:hint="eastAsia" w:ascii="仿宋" w:hAnsi="仿宋" w:eastAsia="仿宋"/>
          <w:color w:val="000000"/>
          <w:sz w:val="32"/>
          <w:highlight w:val="white"/>
          <w:lang w:val="en-US" w:eastAsia="zh-CN"/>
        </w:rPr>
        <w:t>1256.08</w:t>
      </w:r>
      <w:r>
        <w:rPr>
          <w:rFonts w:hint="eastAsia" w:ascii="仿宋" w:hAnsi="仿宋" w:eastAsia="仿宋"/>
          <w:color w:val="000000"/>
          <w:sz w:val="32"/>
          <w:highlight w:val="white"/>
          <w:lang w:val="en-US"/>
        </w:rPr>
        <w:t>万元，</w:t>
      </w:r>
      <w:r>
        <w:rPr>
          <w:rFonts w:hint="eastAsia" w:ascii="仿宋" w:hAnsi="仿宋" w:eastAsia="仿宋"/>
          <w:color w:val="auto"/>
          <w:sz w:val="32"/>
          <w:highlight w:val="white"/>
          <w:lang w:val="en-US"/>
        </w:rPr>
        <w:t>完成年初预算的</w:t>
      </w:r>
      <w:r>
        <w:rPr>
          <w:rFonts w:hint="eastAsia" w:ascii="仿宋" w:hAnsi="仿宋" w:eastAsia="仿宋"/>
          <w:color w:val="000000"/>
          <w:sz w:val="32"/>
          <w:highlight w:val="white"/>
          <w:lang w:val="en-US" w:eastAsia="zh-CN"/>
        </w:rPr>
        <w:t>131.24</w:t>
      </w:r>
      <w:r>
        <w:rPr>
          <w:rFonts w:hint="eastAsia" w:ascii="仿宋" w:hAnsi="仿宋" w:eastAsia="仿宋"/>
          <w:color w:val="000000"/>
          <w:sz w:val="32"/>
          <w:highlight w:val="white"/>
          <w:lang w:val="en-US"/>
        </w:rPr>
        <w:t>%</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其他工资福利和车辆购置增加</w:t>
      </w:r>
      <w:r>
        <w:rPr>
          <w:rFonts w:hint="eastAsia" w:ascii="仿宋" w:hAnsi="仿宋" w:eastAsia="仿宋"/>
          <w:color w:val="auto"/>
          <w:sz w:val="32"/>
          <w:highlight w:val="white"/>
          <w:lang w:val="en-US"/>
        </w:rPr>
        <w:t>。</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（五）一般公共预算财政拨款支出决算情况说明</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1.一般公共预算财政拨款支出决算总体情况。</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2021年度一般公共预算财政拨款支出1,617.18万元，占本年支出合计的97.68%。与2020年相比，一般公共预算财政拨款支出增加/减少</w:t>
      </w:r>
      <w:r>
        <w:rPr>
          <w:rFonts w:hint="eastAsia" w:ascii="仿宋" w:hAnsi="仿宋" w:eastAsia="仿宋"/>
          <w:color w:val="000000"/>
          <w:sz w:val="32"/>
          <w:highlight w:val="white"/>
          <w:lang w:val="en-US" w:eastAsia="zh-CN"/>
        </w:rPr>
        <w:t>231.61</w:t>
      </w:r>
      <w:r>
        <w:rPr>
          <w:rFonts w:hint="eastAsia" w:ascii="仿宋" w:hAnsi="仿宋" w:eastAsia="仿宋"/>
          <w:color w:val="000000"/>
          <w:sz w:val="32"/>
          <w:highlight w:val="white"/>
          <w:lang w:val="en-US"/>
        </w:rPr>
        <w:t>万元，增长</w:t>
      </w:r>
      <w:r>
        <w:rPr>
          <w:rFonts w:hint="eastAsia" w:ascii="仿宋" w:hAnsi="仿宋" w:eastAsia="仿宋"/>
          <w:color w:val="000000"/>
          <w:sz w:val="32"/>
          <w:highlight w:val="white"/>
          <w:lang w:val="en-US" w:eastAsia="zh-CN"/>
        </w:rPr>
        <w:t>14.32</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其他工资福利增加</w:t>
      </w:r>
      <w:r>
        <w:rPr>
          <w:rFonts w:hint="eastAsia" w:ascii="仿宋" w:hAnsi="仿宋" w:eastAsia="仿宋"/>
          <w:color w:val="000000"/>
          <w:sz w:val="32"/>
          <w:highlight w:val="white"/>
          <w:lang w:val="en-US"/>
        </w:rPr>
        <w:t>。</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2.一般公共预算财政拨款支出决算结构情况。</w:t>
      </w:r>
    </w:p>
    <w:p>
      <w:pPr>
        <w:spacing w:beforeLines="0" w:afterLines="0" w:line="324" w:lineRule="auto"/>
        <w:ind w:firstLine="606"/>
        <w:rPr>
          <w:rFonts w:hint="eastAsia" w:ascii="仿宋" w:hAnsi="仿宋" w:eastAsia="仿宋"/>
          <w:b/>
          <w:color w:val="000000"/>
          <w:sz w:val="32"/>
          <w:highlight w:val="white"/>
          <w:lang w:val="en-US"/>
        </w:rPr>
      </w:pPr>
      <w:r>
        <w:rPr>
          <w:rFonts w:hint="eastAsia" w:ascii="仿宋" w:hAnsi="仿宋" w:eastAsia="仿宋"/>
          <w:color w:val="000000"/>
          <w:sz w:val="32"/>
          <w:highlight w:val="white"/>
          <w:lang w:val="en-US"/>
        </w:rPr>
        <w:t>2021年度一般公共预算财政拨款支出1,617.18万元，主要用于以下方面：一般公共服务（类）支出</w:t>
      </w:r>
      <w:r>
        <w:rPr>
          <w:rFonts w:hint="eastAsia" w:ascii="仿宋" w:hAnsi="仿宋" w:eastAsia="仿宋"/>
          <w:color w:val="auto"/>
          <w:sz w:val="32"/>
          <w:highlight w:val="white"/>
          <w:lang w:val="zh-CN"/>
        </w:rPr>
        <w:t>1,617.18</w:t>
      </w:r>
      <w:r>
        <w:rPr>
          <w:rFonts w:hint="eastAsia" w:ascii="仿宋" w:hAnsi="仿宋" w:eastAsia="仿宋"/>
          <w:color w:val="000000"/>
          <w:sz w:val="32"/>
          <w:highlight w:val="white"/>
          <w:lang w:val="en-US"/>
        </w:rPr>
        <w:t>万元，占100%；国防（类）支出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万元,占0%；公共安全（类）支出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万元,占0%；教育（类）支出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万元,占0%；科学技术（类）支出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万元,占0%；文化旅游体育与传媒（类）支出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万元,占0%；社会保障和就业（类）支出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万元,占0%；卫生健康（类）支出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万元,占0%；节能环保（类）支出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万元,占0%；城乡社区（类）支出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万元,占0%；农林水（类）支出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万元,占0%；交通运输（类）支出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万元,占0%；资源勘探工业信息等（类）支出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万元,占0%；商业服务业等（类）支出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万元,占0%；金融（类）支出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万元,占0%；援助其他地区（类）支出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万元,占0%；自然资源海洋气象等（类）支出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万元,占0%；住房保障（类）支出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万元,占0%；粮油物资储备（类）支出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万元,占0%；灾害防治及应急管理（类）支出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万元,占0%；其他（类）支出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万元,占0%；债务还本（类）支出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万元,占0%；债务付息（类）支出</w:t>
      </w:r>
      <w:r>
        <w:rPr>
          <w:rFonts w:hint="eastAsia" w:ascii="仿宋" w:hAnsi="仿宋" w:eastAsia="仿宋"/>
          <w:color w:val="auto"/>
          <w:sz w:val="32"/>
          <w:highlight w:val="white"/>
          <w:lang w:val="zh-CN"/>
        </w:rPr>
        <w:t>0</w:t>
      </w:r>
      <w:r>
        <w:rPr>
          <w:rFonts w:hint="eastAsia" w:ascii="仿宋" w:hAnsi="仿宋" w:eastAsia="仿宋"/>
          <w:color w:val="000000"/>
          <w:sz w:val="32"/>
          <w:highlight w:val="white"/>
          <w:lang w:val="en-US"/>
        </w:rPr>
        <w:t>万元,占0%。</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3.一般公共预算财政拨款支出决算具体情况。</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auto"/>
          <w:sz w:val="32"/>
          <w:highlight w:val="white"/>
          <w:lang w:val="en-US"/>
        </w:rPr>
        <w:t>2021年度</w:t>
      </w:r>
      <w:r>
        <w:rPr>
          <w:rFonts w:hint="eastAsia" w:ascii="仿宋" w:hAnsi="仿宋" w:eastAsia="仿宋"/>
          <w:color w:val="000000"/>
          <w:sz w:val="32"/>
          <w:highlight w:val="white"/>
          <w:lang w:val="en-US"/>
        </w:rPr>
        <w:t>一般公共预算</w:t>
      </w:r>
      <w:r>
        <w:rPr>
          <w:rFonts w:hint="eastAsia" w:ascii="仿宋" w:hAnsi="仿宋" w:eastAsia="仿宋"/>
          <w:color w:val="auto"/>
          <w:sz w:val="32"/>
          <w:highlight w:val="white"/>
          <w:lang w:val="en-US"/>
        </w:rPr>
        <w:t>财政拨款支出年初预算为</w:t>
      </w:r>
      <w:r>
        <w:rPr>
          <w:rFonts w:hint="eastAsia" w:ascii="仿宋" w:hAnsi="仿宋" w:eastAsia="仿宋"/>
          <w:color w:val="000000"/>
          <w:sz w:val="32"/>
          <w:highlight w:val="white"/>
          <w:lang w:val="en-US" w:eastAsia="zh-CN"/>
        </w:rPr>
        <w:t>1224.80</w:t>
      </w:r>
      <w:r>
        <w:rPr>
          <w:rFonts w:hint="eastAsia" w:ascii="仿宋" w:hAnsi="仿宋" w:eastAsia="仿宋"/>
          <w:color w:val="auto"/>
          <w:sz w:val="32"/>
          <w:highlight w:val="white"/>
          <w:lang w:val="en-US"/>
        </w:rPr>
        <w:t>万元，支出决算为</w:t>
      </w:r>
      <w:r>
        <w:rPr>
          <w:rFonts w:hint="eastAsia" w:ascii="仿宋" w:hAnsi="仿宋" w:eastAsia="仿宋"/>
          <w:color w:val="000000"/>
          <w:sz w:val="32"/>
          <w:highlight w:val="white"/>
          <w:lang w:val="en-US"/>
        </w:rPr>
        <w:t>1,617.18万元</w:t>
      </w:r>
      <w:r>
        <w:rPr>
          <w:rFonts w:hint="eastAsia" w:ascii="仿宋" w:hAnsi="仿宋" w:eastAsia="仿宋"/>
          <w:color w:val="auto"/>
          <w:sz w:val="32"/>
          <w:highlight w:val="white"/>
          <w:lang w:val="en-US"/>
        </w:rPr>
        <w:t>,完成年初预算的</w:t>
      </w:r>
      <w:r>
        <w:rPr>
          <w:rFonts w:hint="eastAsia" w:ascii="仿宋" w:hAnsi="仿宋" w:eastAsia="仿宋"/>
          <w:color w:val="000000"/>
          <w:sz w:val="32"/>
          <w:highlight w:val="white"/>
          <w:lang w:val="en-US" w:eastAsia="zh-CN"/>
        </w:rPr>
        <w:t>132.04</w:t>
      </w:r>
      <w:r>
        <w:rPr>
          <w:rFonts w:hint="eastAsia" w:ascii="仿宋" w:hAnsi="仿宋" w:eastAsia="仿宋"/>
          <w:color w:val="000000"/>
          <w:sz w:val="32"/>
          <w:highlight w:val="white"/>
          <w:lang w:val="en-US"/>
        </w:rPr>
        <w:t>%</w:t>
      </w:r>
      <w:r>
        <w:rPr>
          <w:rFonts w:hint="eastAsia" w:ascii="仿宋" w:hAnsi="仿宋" w:eastAsia="仿宋"/>
          <w:color w:val="auto"/>
          <w:sz w:val="32"/>
          <w:highlight w:val="white"/>
          <w:lang w:val="en-US"/>
        </w:rPr>
        <w:t>，主要原因是</w:t>
      </w:r>
      <w:r>
        <w:rPr>
          <w:rFonts w:hint="eastAsia" w:ascii="仿宋" w:hAnsi="仿宋" w:eastAsia="仿宋"/>
          <w:color w:val="000000"/>
          <w:sz w:val="32"/>
          <w:highlight w:val="white"/>
          <w:lang w:val="en-US" w:eastAsia="zh-CN"/>
        </w:rPr>
        <w:t>其他工资福利增加</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其中：</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一般公共服务支出（类）政府办公厅（室）及相关机构事务（款）机关服务（项）。年初预算为</w:t>
      </w:r>
      <w:r>
        <w:rPr>
          <w:rFonts w:hint="eastAsia" w:ascii="仿宋" w:hAnsi="仿宋" w:eastAsia="仿宋"/>
          <w:color w:val="000000"/>
          <w:sz w:val="32"/>
          <w:highlight w:val="white"/>
          <w:lang w:val="en-US" w:eastAsia="zh-CN"/>
        </w:rPr>
        <w:t>1224.80</w:t>
      </w:r>
      <w:r>
        <w:rPr>
          <w:rFonts w:hint="eastAsia" w:ascii="仿宋" w:hAnsi="仿宋" w:eastAsia="仿宋"/>
          <w:color w:val="000000"/>
          <w:sz w:val="32"/>
          <w:highlight w:val="white"/>
          <w:lang w:val="en-US"/>
        </w:rPr>
        <w:t>万元，支出决算为</w:t>
      </w:r>
      <w:r>
        <w:rPr>
          <w:rFonts w:hint="eastAsia" w:ascii="仿宋" w:hAnsi="仿宋" w:eastAsia="仿宋"/>
          <w:color w:val="000000"/>
          <w:sz w:val="32"/>
          <w:highlight w:val="white"/>
          <w:lang w:val="en-US" w:eastAsia="zh-CN"/>
        </w:rPr>
        <w:t>1617.18</w:t>
      </w:r>
      <w:r>
        <w:rPr>
          <w:rFonts w:hint="eastAsia" w:ascii="仿宋" w:hAnsi="仿宋" w:eastAsia="仿宋"/>
          <w:color w:val="000000"/>
          <w:sz w:val="32"/>
          <w:highlight w:val="white"/>
          <w:lang w:val="en-US"/>
        </w:rPr>
        <w:t>万元，完成年初预算的</w:t>
      </w:r>
      <w:r>
        <w:rPr>
          <w:rFonts w:hint="eastAsia" w:ascii="仿宋" w:hAnsi="仿宋" w:eastAsia="仿宋"/>
          <w:color w:val="000000"/>
          <w:sz w:val="32"/>
          <w:highlight w:val="white"/>
          <w:lang w:val="en-US" w:eastAsia="zh-CN"/>
        </w:rPr>
        <w:t>132.04</w:t>
      </w:r>
      <w:r>
        <w:rPr>
          <w:rFonts w:hint="eastAsia" w:ascii="仿宋" w:hAnsi="仿宋" w:eastAsia="仿宋"/>
          <w:color w:val="000000"/>
          <w:sz w:val="32"/>
          <w:highlight w:val="white"/>
          <w:lang w:val="en-US"/>
        </w:rPr>
        <w:t>%，决算数大于预算数的主要原因</w:t>
      </w:r>
      <w:r>
        <w:rPr>
          <w:rFonts w:hint="eastAsia" w:ascii="仿宋" w:hAnsi="仿宋" w:eastAsia="仿宋"/>
          <w:color w:val="000000"/>
          <w:sz w:val="32"/>
          <w:highlight w:val="white"/>
          <w:lang w:val="en-US" w:eastAsia="zh-CN"/>
        </w:rPr>
        <w:t>其他工资福利增加</w:t>
      </w:r>
      <w:r>
        <w:rPr>
          <w:rFonts w:hint="eastAsia" w:ascii="仿宋" w:hAnsi="仿宋" w:eastAsia="仿宋"/>
          <w:color w:val="000000"/>
          <w:sz w:val="32"/>
          <w:highlight w:val="white"/>
          <w:lang w:val="en-US"/>
        </w:rPr>
        <w:t>。</w:t>
      </w:r>
    </w:p>
    <w:p>
      <w:pPr>
        <w:spacing w:beforeLines="0" w:afterLines="0" w:line="324" w:lineRule="auto"/>
        <w:ind w:firstLine="594"/>
        <w:rPr>
          <w:rFonts w:hint="default" w:ascii="Times New Roman" w:hAnsi="Times New Roman" w:eastAsia="Times New Roman"/>
          <w:color w:val="000000"/>
          <w:sz w:val="32"/>
          <w:highlight w:val="white"/>
          <w:lang w:val="en-US"/>
        </w:rPr>
      </w:pPr>
      <w:r>
        <w:rPr>
          <w:rFonts w:hint="eastAsia" w:ascii="楷体" w:hAnsi="楷体" w:eastAsia="楷体"/>
          <w:b/>
          <w:color w:val="000000"/>
          <w:sz w:val="32"/>
          <w:highlight w:val="white"/>
          <w:lang w:val="en-US"/>
        </w:rPr>
        <w:t>（六）一般公共预算财政拨款基本支出决算情况说明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2021年度一般公共预算财政拨款基本支出1,536.24万元，其中：</w:t>
      </w:r>
    </w:p>
    <w:p>
      <w:pPr>
        <w:spacing w:beforeLines="0" w:afterLines="0" w:line="324" w:lineRule="auto"/>
        <w:ind w:firstLine="594"/>
        <w:rPr>
          <w:rFonts w:hint="eastAsia" w:ascii="仿宋" w:hAnsi="Times New Roman" w:eastAsia="仿宋"/>
          <w:color w:val="000000"/>
          <w:sz w:val="32"/>
          <w:highlight w:val="white"/>
          <w:lang w:eastAsia="zh-CN"/>
        </w:rPr>
      </w:pPr>
      <w:r>
        <w:rPr>
          <w:rFonts w:hint="eastAsia" w:ascii="仿宋" w:hAnsi="仿宋" w:eastAsia="仿宋"/>
          <w:color w:val="000000"/>
          <w:sz w:val="32"/>
          <w:highlight w:val="white"/>
          <w:lang w:val="en-US"/>
        </w:rPr>
        <w:t>人员经费947.48万元，主要包括：</w:t>
      </w:r>
      <w:r>
        <w:rPr>
          <w:rFonts w:hint="eastAsia" w:ascii="仿宋" w:hAnsi="Times New Roman" w:eastAsia="仿宋"/>
          <w:color w:val="000000"/>
          <w:sz w:val="32"/>
          <w:highlight w:val="white"/>
        </w:rPr>
        <w:t>基本工资、津贴补贴、奖金、社会保障缴费、绩效工资、其他工资福利支出、离休费、生活补助、住房公积金等、其他对个人和家庭的补助支出</w:t>
      </w:r>
      <w:r>
        <w:rPr>
          <w:rFonts w:hint="eastAsia" w:ascii="仿宋" w:hAnsi="Times New Roman" w:eastAsia="仿宋"/>
          <w:color w:val="000000"/>
          <w:sz w:val="32"/>
          <w:highlight w:val="white"/>
          <w:lang w:eastAsia="zh-CN"/>
        </w:rPr>
        <w:t>。</w:t>
      </w:r>
    </w:p>
    <w:p>
      <w:pPr>
        <w:spacing w:beforeLines="0" w:afterLines="0" w:line="324" w:lineRule="auto"/>
        <w:ind w:firstLine="594"/>
        <w:rPr>
          <w:rFonts w:hint="default" w:ascii="Times New Roman" w:hAnsi="Times New Roman" w:eastAsia="Times New Roman"/>
          <w:color w:val="000000"/>
          <w:sz w:val="32"/>
          <w:highlight w:val="white"/>
          <w:lang w:val="en-US"/>
        </w:rPr>
      </w:pPr>
      <w:r>
        <w:rPr>
          <w:rFonts w:hint="eastAsia" w:ascii="仿宋" w:hAnsi="仿宋" w:eastAsia="仿宋"/>
          <w:color w:val="000000"/>
          <w:sz w:val="32"/>
          <w:highlight w:val="white"/>
          <w:lang w:val="en-US"/>
        </w:rPr>
        <w:t>公用经费588.76万元，</w:t>
      </w:r>
      <w:r>
        <w:rPr>
          <w:rFonts w:hint="eastAsia" w:ascii="仿宋" w:hAnsi="Times New Roman" w:eastAsia="仿宋"/>
          <w:color w:val="000000"/>
          <w:sz w:val="32"/>
          <w:highlight w:val="white"/>
        </w:rPr>
        <w:t>主要包括：办公费、因公出国（境）费用、水费、电费、邮电费、差旅费、培训费、公务接待费、劳务费、维修(护)费、工会经费、福利费、公务用车运行维护费、其他交通费用、其他商品和服务支出。</w:t>
      </w:r>
    </w:p>
    <w:p>
      <w:pPr>
        <w:spacing w:beforeLines="0" w:afterLines="0" w:line="324" w:lineRule="auto"/>
        <w:ind w:firstLine="594"/>
        <w:rPr>
          <w:rFonts w:hint="eastAsia" w:ascii="仿宋" w:hAnsi="仿宋" w:eastAsia="仿宋"/>
          <w:b/>
          <w:color w:val="000000"/>
          <w:sz w:val="32"/>
          <w:highlight w:val="white"/>
          <w:lang w:val="en-US"/>
        </w:rPr>
      </w:pPr>
      <w:r>
        <w:rPr>
          <w:rFonts w:hint="eastAsia" w:ascii="楷体" w:hAnsi="楷体" w:eastAsia="楷体"/>
          <w:b/>
          <w:color w:val="000000"/>
          <w:sz w:val="32"/>
          <w:highlight w:val="white"/>
          <w:lang w:val="en-US"/>
        </w:rPr>
        <w:t>（七）政府性基金预算财政拨款支出</w:t>
      </w:r>
      <w:r>
        <w:rPr>
          <w:rFonts w:hint="eastAsia" w:ascii="楷体" w:hAnsi="楷体" w:eastAsia="楷体"/>
          <w:b/>
          <w:color w:val="000000"/>
          <w:sz w:val="32"/>
          <w:highlight w:val="white"/>
          <w:lang w:val="zh-CN"/>
        </w:rPr>
        <w:t>决算</w:t>
      </w:r>
      <w:r>
        <w:rPr>
          <w:rFonts w:hint="eastAsia" w:ascii="楷体" w:hAnsi="楷体" w:eastAsia="楷体"/>
          <w:b/>
          <w:color w:val="000000"/>
          <w:sz w:val="32"/>
          <w:highlight w:val="white"/>
          <w:lang w:val="en-US"/>
        </w:rPr>
        <w:t>总体情况说明</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1.政府性基金预算财政拨款支出决算总体情况。</w:t>
      </w:r>
    </w:p>
    <w:p>
      <w:pPr>
        <w:spacing w:beforeLines="0" w:afterLines="0" w:line="324" w:lineRule="auto"/>
        <w:ind w:firstLine="606"/>
        <w:rPr>
          <w:rFonts w:hint="eastAsia" w:ascii="仿宋_GB2312" w:hAnsi="仿宋_GB2312" w:eastAsia="仿宋_GB2312"/>
          <w:b/>
          <w:color w:val="000000"/>
          <w:sz w:val="32"/>
          <w:highlight w:val="white"/>
          <w:lang w:val="en-US"/>
        </w:rPr>
      </w:pPr>
      <w:r>
        <w:rPr>
          <w:rFonts w:hint="eastAsia" w:ascii="仿宋" w:hAnsi="仿宋" w:eastAsia="仿宋"/>
          <w:color w:val="000000"/>
          <w:sz w:val="32"/>
          <w:highlight w:val="white"/>
          <w:lang w:val="en-US"/>
        </w:rPr>
        <w:t>2021年度政府性基金预算财政拨款支出31.28万元，占本年支出合计的1.89%。与2020年相比，政府性基金预算财政拨款支出增加/减少</w:t>
      </w:r>
      <w:r>
        <w:rPr>
          <w:rFonts w:hint="eastAsia" w:ascii="仿宋" w:hAnsi="仿宋" w:eastAsia="仿宋"/>
          <w:color w:val="000000"/>
          <w:sz w:val="32"/>
          <w:highlight w:val="white"/>
          <w:lang w:val="en-US" w:eastAsia="zh-CN"/>
        </w:rPr>
        <w:t>30.81</w:t>
      </w:r>
      <w:r>
        <w:rPr>
          <w:rFonts w:hint="eastAsia" w:ascii="仿宋" w:hAnsi="仿宋" w:eastAsia="仿宋"/>
          <w:color w:val="000000"/>
          <w:sz w:val="32"/>
          <w:highlight w:val="white"/>
          <w:lang w:val="en-US"/>
        </w:rPr>
        <w:t>万元，增长</w:t>
      </w:r>
      <w:r>
        <w:rPr>
          <w:rFonts w:hint="eastAsia" w:ascii="仿宋" w:hAnsi="仿宋" w:eastAsia="仿宋"/>
          <w:color w:val="000000"/>
          <w:sz w:val="32"/>
          <w:highlight w:val="white"/>
          <w:lang w:val="en-US" w:eastAsia="zh-CN"/>
        </w:rPr>
        <w:t>98.50</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本年增加办公用房租金</w:t>
      </w:r>
      <w:r>
        <w:rPr>
          <w:rFonts w:hint="eastAsia" w:ascii="仿宋" w:hAnsi="仿宋" w:eastAsia="仿宋"/>
          <w:color w:val="000000"/>
          <w:sz w:val="32"/>
          <w:highlight w:val="white"/>
          <w:lang w:val="en-US"/>
        </w:rPr>
        <w:t>。</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2.政府性基金预算财政拨款支出决算结构情况。</w:t>
      </w:r>
    </w:p>
    <w:p>
      <w:pPr>
        <w:spacing w:beforeLines="0" w:afterLines="0" w:line="324" w:lineRule="auto"/>
        <w:ind w:firstLine="606"/>
        <w:rPr>
          <w:rFonts w:hint="eastAsia" w:ascii="仿宋" w:hAnsi="仿宋" w:eastAsia="仿宋"/>
          <w:b/>
          <w:color w:val="000000"/>
          <w:sz w:val="32"/>
          <w:highlight w:val="white"/>
          <w:lang w:val="en-US"/>
        </w:rPr>
      </w:pPr>
      <w:r>
        <w:rPr>
          <w:rFonts w:hint="eastAsia" w:ascii="仿宋" w:hAnsi="仿宋" w:eastAsia="仿宋"/>
          <w:color w:val="000000"/>
          <w:sz w:val="32"/>
          <w:highlight w:val="white"/>
          <w:lang w:val="en-US"/>
        </w:rPr>
        <w:t>2021年度政府性基金预算财政拨款支出31.28万元，主要用于以下方面：科学技术（类）支出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万元,占0%；文化旅游体育与传媒（类）支出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万元,占0%；社会保障和就业（类）支出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万元,占0%；节能环保（类）支出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万元,占0%；城乡社区（类）支出</w:t>
      </w:r>
      <w:r>
        <w:rPr>
          <w:rFonts w:hint="eastAsia" w:ascii="仿宋" w:hAnsi="仿宋" w:eastAsia="仿宋"/>
          <w:color w:val="auto"/>
          <w:sz w:val="30"/>
          <w:highlight w:val="white"/>
          <w:lang w:val="zh-CN"/>
        </w:rPr>
        <w:t>31.28</w:t>
      </w:r>
      <w:r>
        <w:rPr>
          <w:rFonts w:hint="eastAsia" w:ascii="仿宋" w:hAnsi="仿宋" w:eastAsia="仿宋"/>
          <w:color w:val="000000"/>
          <w:sz w:val="32"/>
          <w:highlight w:val="white"/>
          <w:lang w:val="en-US"/>
        </w:rPr>
        <w:t>万元,占100%；农林水（类）支出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万元,占0%；交通运输（类）支出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万元,占0%；资源勘探信息等（类）支出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万元,占0%；金融（类）支出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万元,占0%；其他（类）支出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万元,占0%；债务付息（类）支出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万元,占0%；抗疫特别国债安排（类）支出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3.政府性基金预算财政拨款支出决算具体情况。</w:t>
      </w:r>
    </w:p>
    <w:p>
      <w:pPr>
        <w:spacing w:beforeLines="0" w:afterLines="0" w:line="324" w:lineRule="auto"/>
        <w:ind w:firstLine="594"/>
        <w:rPr>
          <w:rFonts w:hint="eastAsia" w:ascii="仿宋" w:hAnsi="仿宋" w:eastAsia="仿宋"/>
          <w:b/>
          <w:color w:val="000000"/>
          <w:sz w:val="32"/>
          <w:highlight w:val="white"/>
          <w:lang w:val="en-US"/>
        </w:rPr>
      </w:pPr>
      <w:r>
        <w:rPr>
          <w:rFonts w:hint="eastAsia" w:ascii="仿宋" w:hAnsi="仿宋" w:eastAsia="仿宋"/>
          <w:color w:val="auto"/>
          <w:sz w:val="32"/>
          <w:highlight w:val="white"/>
          <w:lang w:val="en-US"/>
        </w:rPr>
        <w:t>2021年度</w:t>
      </w:r>
      <w:r>
        <w:rPr>
          <w:rFonts w:hint="eastAsia" w:ascii="仿宋" w:hAnsi="仿宋" w:eastAsia="仿宋"/>
          <w:color w:val="000000"/>
          <w:sz w:val="32"/>
          <w:highlight w:val="white"/>
          <w:lang w:val="en-US"/>
        </w:rPr>
        <w:t>政府性基金预算</w:t>
      </w:r>
      <w:r>
        <w:rPr>
          <w:rFonts w:hint="eastAsia" w:ascii="仿宋" w:hAnsi="仿宋" w:eastAsia="仿宋"/>
          <w:color w:val="auto"/>
          <w:sz w:val="32"/>
          <w:highlight w:val="white"/>
          <w:lang w:val="en-US"/>
        </w:rPr>
        <w:t>财政拨款支出年初预算为</w:t>
      </w:r>
      <w:r>
        <w:rPr>
          <w:rFonts w:hint="eastAsia" w:ascii="仿宋" w:hAnsi="仿宋" w:eastAsia="仿宋"/>
          <w:color w:val="000000"/>
          <w:sz w:val="32"/>
          <w:highlight w:val="white"/>
          <w:lang w:val="en-US" w:eastAsia="zh-CN"/>
        </w:rPr>
        <w:t>31.28</w:t>
      </w:r>
      <w:r>
        <w:rPr>
          <w:rFonts w:hint="eastAsia" w:ascii="仿宋" w:hAnsi="仿宋" w:eastAsia="仿宋"/>
          <w:color w:val="auto"/>
          <w:sz w:val="32"/>
          <w:highlight w:val="white"/>
          <w:lang w:val="en-US"/>
        </w:rPr>
        <w:t>万元，支出决算为</w:t>
      </w:r>
      <w:r>
        <w:rPr>
          <w:rFonts w:hint="eastAsia" w:ascii="仿宋" w:hAnsi="仿宋" w:eastAsia="仿宋"/>
          <w:color w:val="000000"/>
          <w:sz w:val="32"/>
          <w:highlight w:val="white"/>
          <w:lang w:val="en-US"/>
        </w:rPr>
        <w:t>31.28万元</w:t>
      </w:r>
      <w:r>
        <w:rPr>
          <w:rFonts w:hint="eastAsia" w:ascii="仿宋" w:hAnsi="仿宋" w:eastAsia="仿宋"/>
          <w:color w:val="auto"/>
          <w:sz w:val="32"/>
          <w:highlight w:val="white"/>
          <w:lang w:val="en-US"/>
        </w:rPr>
        <w:t>,完成年初预算的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其中：</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其他支出（类）其他政府性基金及对应专项债务收入安排的支出（款）其他政府性基金安排的支出（项）。年初预算为</w:t>
      </w:r>
      <w:r>
        <w:rPr>
          <w:rFonts w:hint="eastAsia" w:ascii="仿宋" w:hAnsi="仿宋" w:eastAsia="仿宋"/>
          <w:color w:val="000000"/>
          <w:sz w:val="32"/>
          <w:highlight w:val="white"/>
          <w:lang w:val="en-US" w:eastAsia="zh-CN"/>
        </w:rPr>
        <w:t>31.28</w:t>
      </w:r>
      <w:r>
        <w:rPr>
          <w:rFonts w:hint="eastAsia" w:ascii="仿宋" w:hAnsi="仿宋" w:eastAsia="仿宋"/>
          <w:color w:val="000000"/>
          <w:sz w:val="32"/>
          <w:highlight w:val="white"/>
          <w:lang w:val="en-US"/>
        </w:rPr>
        <w:t>万元，支出决算为</w:t>
      </w:r>
      <w:r>
        <w:rPr>
          <w:rFonts w:hint="eastAsia" w:ascii="仿宋" w:hAnsi="仿宋" w:eastAsia="仿宋"/>
          <w:color w:val="000000"/>
          <w:sz w:val="32"/>
          <w:highlight w:val="white"/>
          <w:lang w:val="en-US" w:eastAsia="zh-CN"/>
        </w:rPr>
        <w:t>31.28</w:t>
      </w:r>
      <w:r>
        <w:rPr>
          <w:rFonts w:hint="eastAsia" w:ascii="仿宋" w:hAnsi="仿宋" w:eastAsia="仿宋"/>
          <w:color w:val="000000"/>
          <w:sz w:val="32"/>
          <w:highlight w:val="white"/>
          <w:lang w:val="en-US"/>
        </w:rPr>
        <w:t>万元，完成年初预算的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%。决算数</w:t>
      </w:r>
      <w:r>
        <w:rPr>
          <w:rFonts w:hint="eastAsia" w:ascii="仿宋" w:hAnsi="仿宋" w:eastAsia="仿宋"/>
          <w:color w:val="000000"/>
          <w:sz w:val="32"/>
          <w:highlight w:val="white"/>
          <w:lang w:val="en-US" w:eastAsia="zh-CN"/>
        </w:rPr>
        <w:t>等于</w:t>
      </w:r>
      <w:r>
        <w:rPr>
          <w:rFonts w:hint="eastAsia" w:ascii="仿宋" w:hAnsi="仿宋" w:eastAsia="仿宋"/>
          <w:color w:val="000000"/>
          <w:sz w:val="32"/>
          <w:highlight w:val="white"/>
          <w:lang w:val="en-US"/>
        </w:rPr>
        <w:t>预算数的主要原因是</w:t>
      </w:r>
      <w:r>
        <w:rPr>
          <w:rFonts w:hint="eastAsia" w:ascii="仿宋" w:hAnsi="仿宋" w:eastAsia="仿宋"/>
          <w:color w:val="000000"/>
          <w:sz w:val="32"/>
          <w:highlight w:val="white"/>
          <w:lang w:val="en-US" w:eastAsia="zh-CN"/>
        </w:rPr>
        <w:t>严格执行年初预算</w:t>
      </w:r>
      <w:r>
        <w:rPr>
          <w:rFonts w:hint="eastAsia" w:ascii="仿宋" w:hAnsi="仿宋" w:eastAsia="仿宋"/>
          <w:color w:val="000000"/>
          <w:sz w:val="32"/>
          <w:highlight w:val="white"/>
          <w:lang w:val="en-US"/>
        </w:rPr>
        <w:t>。</w:t>
      </w:r>
    </w:p>
    <w:p>
      <w:pPr>
        <w:numPr>
          <w:ilvl w:val="0"/>
          <w:numId w:val="1"/>
        </w:numPr>
        <w:spacing w:beforeLines="0" w:afterLines="0" w:line="324" w:lineRule="auto"/>
        <w:ind w:firstLine="964" w:firstLineChars="300"/>
        <w:rPr>
          <w:rFonts w:hint="eastAsia" w:ascii="楷体" w:hAnsi="楷体" w:eastAsia="楷体"/>
          <w:b/>
          <w:color w:val="000000"/>
          <w:sz w:val="32"/>
          <w:highlight w:val="white"/>
          <w:lang w:val="en-US"/>
        </w:rPr>
      </w:pPr>
      <w:r>
        <w:rPr>
          <w:rFonts w:hint="eastAsia" w:ascii="楷体" w:hAnsi="楷体" w:eastAsia="楷体"/>
          <w:b/>
          <w:color w:val="000000"/>
          <w:sz w:val="32"/>
          <w:highlight w:val="white"/>
          <w:lang w:val="en-US"/>
        </w:rPr>
        <w:t>国有资本经营预算财政拨款支出</w:t>
      </w:r>
      <w:r>
        <w:rPr>
          <w:rFonts w:hint="eastAsia" w:ascii="楷体" w:hAnsi="楷体" w:eastAsia="楷体"/>
          <w:b/>
          <w:color w:val="000000"/>
          <w:sz w:val="32"/>
          <w:highlight w:val="white"/>
          <w:lang w:val="zh-CN"/>
        </w:rPr>
        <w:t>决算</w:t>
      </w:r>
      <w:r>
        <w:rPr>
          <w:rFonts w:hint="eastAsia" w:ascii="楷体" w:hAnsi="楷体" w:eastAsia="楷体"/>
          <w:b/>
          <w:color w:val="000000"/>
          <w:sz w:val="32"/>
          <w:highlight w:val="white"/>
          <w:lang w:val="en-US"/>
        </w:rPr>
        <w:t>总体情况说明</w:t>
      </w:r>
    </w:p>
    <w:p>
      <w:pPr>
        <w:numPr>
          <w:numId w:val="0"/>
        </w:numPr>
        <w:spacing w:beforeLines="0" w:afterLines="0" w:line="324" w:lineRule="auto"/>
        <w:ind w:firstLine="640" w:firstLineChars="200"/>
        <w:rPr>
          <w:rFonts w:hint="eastAsia" w:ascii="仿宋" w:hAnsi="仿宋" w:eastAsia="仿宋"/>
          <w:b/>
          <w:color w:val="000000"/>
          <w:sz w:val="32"/>
          <w:highlight w:val="white"/>
          <w:lang w:val="en-US" w:eastAsia="zh-CN"/>
        </w:rPr>
      </w:pPr>
      <w:r>
        <w:rPr>
          <w:rFonts w:hint="eastAsia" w:ascii="仿宋" w:hAnsi="仿宋" w:eastAsia="仿宋"/>
          <w:color w:val="000000"/>
          <w:sz w:val="32"/>
          <w:highlight w:val="white"/>
          <w:lang w:val="en-US"/>
        </w:rPr>
        <w:t>本部门（单位）2021年度无国有资本经营预算财政拨款收支安排，故无相关数据</w:t>
      </w:r>
      <w:r>
        <w:rPr>
          <w:rFonts w:hint="eastAsia" w:ascii="仿宋" w:hAnsi="仿宋" w:eastAsia="仿宋"/>
          <w:color w:val="000000"/>
          <w:sz w:val="32"/>
          <w:highlight w:val="white"/>
          <w:lang w:val="en-US" w:eastAsia="zh-CN"/>
        </w:rPr>
        <w:t>。</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1.国有资本经营预算财政拨款支出决算总体情况。</w:t>
      </w:r>
    </w:p>
    <w:p>
      <w:pPr>
        <w:spacing w:beforeLines="0" w:afterLines="0" w:line="324" w:lineRule="auto"/>
        <w:ind w:firstLine="606"/>
        <w:rPr>
          <w:rFonts w:hint="eastAsia" w:ascii="仿宋_GB2312" w:hAnsi="仿宋_GB2312" w:eastAsia="仿宋_GB2312"/>
          <w:b/>
          <w:color w:val="000000"/>
          <w:sz w:val="32"/>
          <w:highlight w:val="white"/>
          <w:lang w:val="en-US"/>
        </w:rPr>
      </w:pPr>
      <w:r>
        <w:rPr>
          <w:rFonts w:hint="eastAsia" w:ascii="仿宋" w:hAnsi="仿宋" w:eastAsia="仿宋"/>
          <w:color w:val="000000"/>
          <w:sz w:val="32"/>
          <w:highlight w:val="white"/>
          <w:lang w:val="en-US"/>
        </w:rPr>
        <w:t>2021年度国有资本经营预算财政拨款支出0万元，占本年支出合计的0%。</w:t>
      </w:r>
    </w:p>
    <w:p>
      <w:pPr>
        <w:spacing w:beforeLines="0" w:afterLines="0" w:line="324" w:lineRule="auto"/>
        <w:ind w:firstLine="606"/>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2.国有资本经营预算财政拨款支出决算结构情况。</w:t>
      </w:r>
    </w:p>
    <w:p>
      <w:pPr>
        <w:spacing w:beforeLines="0" w:afterLines="0" w:line="324" w:lineRule="auto"/>
        <w:ind w:firstLine="606"/>
        <w:rPr>
          <w:rFonts w:hint="eastAsia" w:ascii="仿宋" w:hAnsi="仿宋" w:eastAsia="仿宋"/>
          <w:b/>
          <w:color w:val="000000"/>
          <w:sz w:val="32"/>
          <w:highlight w:val="white"/>
          <w:lang w:val="en-US"/>
        </w:rPr>
      </w:pPr>
      <w:r>
        <w:rPr>
          <w:rFonts w:hint="eastAsia" w:ascii="仿宋" w:hAnsi="仿宋" w:eastAsia="仿宋"/>
          <w:color w:val="000000"/>
          <w:sz w:val="32"/>
          <w:highlight w:val="white"/>
          <w:lang w:val="en-US"/>
        </w:rPr>
        <w:t>2021年度国有资本经营预算财政拨款支出0万元，主要用于以下方面：国有资本经营（类）支出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万元,占0%。</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3.国有资本经营预算财政拨款支出决算具体情况。</w:t>
      </w:r>
    </w:p>
    <w:p>
      <w:pPr>
        <w:spacing w:beforeLines="0" w:afterLines="0" w:line="324" w:lineRule="auto"/>
        <w:ind w:firstLine="594"/>
        <w:rPr>
          <w:rFonts w:hint="default" w:ascii="仿宋" w:hAnsi="仿宋" w:eastAsia="仿宋"/>
          <w:color w:val="000000"/>
          <w:sz w:val="32"/>
          <w:highlight w:val="white"/>
          <w:lang w:val="en-US" w:eastAsia="zh-CN"/>
        </w:rPr>
      </w:pPr>
      <w:r>
        <w:rPr>
          <w:rFonts w:hint="eastAsia" w:ascii="仿宋" w:hAnsi="仿宋" w:eastAsia="仿宋"/>
          <w:color w:val="auto"/>
          <w:sz w:val="32"/>
          <w:highlight w:val="white"/>
          <w:lang w:val="en-US"/>
        </w:rPr>
        <w:t>2021年度</w:t>
      </w:r>
      <w:r>
        <w:rPr>
          <w:rFonts w:hint="eastAsia" w:ascii="仿宋" w:hAnsi="仿宋" w:eastAsia="仿宋"/>
          <w:color w:val="000000"/>
          <w:sz w:val="32"/>
          <w:highlight w:val="white"/>
          <w:lang w:val="en-US"/>
        </w:rPr>
        <w:t>国有资本经营预算</w:t>
      </w:r>
      <w:r>
        <w:rPr>
          <w:rFonts w:hint="eastAsia" w:ascii="仿宋" w:hAnsi="仿宋" w:eastAsia="仿宋"/>
          <w:color w:val="auto"/>
          <w:sz w:val="32"/>
          <w:highlight w:val="white"/>
          <w:lang w:val="en-US"/>
        </w:rPr>
        <w:t>财政拨款支出年初预算为</w:t>
      </w:r>
      <w:r>
        <w:rPr>
          <w:rFonts w:hint="eastAsia" w:ascii="仿宋" w:hAnsi="仿宋" w:eastAsia="仿宋"/>
          <w:color w:val="000000"/>
          <w:sz w:val="32"/>
          <w:highlight w:val="white"/>
          <w:lang w:val="en-US" w:eastAsia="zh-CN"/>
        </w:rPr>
        <w:t>0</w:t>
      </w:r>
      <w:r>
        <w:rPr>
          <w:rFonts w:hint="eastAsia" w:ascii="仿宋" w:hAnsi="仿宋" w:eastAsia="仿宋"/>
          <w:color w:val="auto"/>
          <w:sz w:val="32"/>
          <w:highlight w:val="white"/>
          <w:lang w:val="en-US"/>
        </w:rPr>
        <w:t>万元，支出决算为</w:t>
      </w:r>
      <w:r>
        <w:rPr>
          <w:rFonts w:hint="eastAsia" w:ascii="仿宋" w:hAnsi="仿宋" w:eastAsia="仿宋"/>
          <w:color w:val="000000"/>
          <w:sz w:val="32"/>
          <w:highlight w:val="white"/>
          <w:lang w:val="en-US"/>
        </w:rPr>
        <w:t>0万元</w:t>
      </w:r>
      <w:r>
        <w:rPr>
          <w:rFonts w:hint="eastAsia" w:ascii="仿宋" w:hAnsi="仿宋" w:eastAsia="仿宋"/>
          <w:color w:val="auto"/>
          <w:sz w:val="32"/>
          <w:highlight w:val="white"/>
          <w:lang w:val="en-US"/>
        </w:rPr>
        <w:t>,完成年初预算的</w:t>
      </w:r>
      <w:r>
        <w:rPr>
          <w:rFonts w:hint="eastAsia" w:ascii="仿宋" w:hAnsi="仿宋" w:eastAsia="仿宋"/>
          <w:color w:val="000000"/>
          <w:sz w:val="32"/>
          <w:highlight w:val="white"/>
          <w:lang w:val="en-US" w:eastAsia="zh-CN"/>
        </w:rPr>
        <w:t>0%。</w:t>
      </w:r>
    </w:p>
    <w:p>
      <w:pPr>
        <w:spacing w:beforeLines="0" w:afterLines="0" w:line="324" w:lineRule="auto"/>
        <w:ind w:firstLine="594"/>
        <w:rPr>
          <w:rFonts w:hint="default" w:ascii="Times New Roman" w:hAnsi="Times New Roman" w:eastAsia="Times New Roman"/>
          <w:b/>
          <w:color w:val="000000"/>
          <w:sz w:val="32"/>
          <w:highlight w:val="white"/>
          <w:lang w:val="en-US"/>
        </w:rPr>
      </w:pPr>
      <w:r>
        <w:rPr>
          <w:rFonts w:hint="eastAsia" w:ascii="楷体" w:hAnsi="楷体" w:eastAsia="楷体"/>
          <w:b/>
          <w:color w:val="000000"/>
          <w:sz w:val="32"/>
          <w:highlight w:val="white"/>
          <w:lang w:val="en-US"/>
        </w:rPr>
        <w:t>（九）一般公共预算财政拨款</w:t>
      </w:r>
      <w:r>
        <w:rPr>
          <w:rFonts w:hint="default" w:ascii="楷体" w:hAnsi="楷体" w:eastAsia="楷体"/>
          <w:b/>
          <w:color w:val="000000"/>
          <w:sz w:val="32"/>
          <w:highlight w:val="white"/>
          <w:lang w:val="en-US"/>
        </w:rPr>
        <w:t>“</w:t>
      </w:r>
      <w:r>
        <w:rPr>
          <w:rFonts w:hint="eastAsia" w:ascii="楷体" w:hAnsi="楷体" w:eastAsia="楷体"/>
          <w:b/>
          <w:color w:val="000000"/>
          <w:sz w:val="32"/>
          <w:highlight w:val="white"/>
          <w:lang w:val="en-US"/>
        </w:rPr>
        <w:t>三公</w:t>
      </w:r>
      <w:r>
        <w:rPr>
          <w:rFonts w:hint="default" w:ascii="楷体" w:hAnsi="楷体" w:eastAsia="楷体"/>
          <w:b/>
          <w:color w:val="000000"/>
          <w:sz w:val="32"/>
          <w:highlight w:val="white"/>
          <w:lang w:val="en-US"/>
        </w:rPr>
        <w:t>”</w:t>
      </w:r>
      <w:r>
        <w:rPr>
          <w:rFonts w:hint="eastAsia" w:ascii="楷体" w:hAnsi="楷体" w:eastAsia="楷体"/>
          <w:b/>
          <w:color w:val="000000"/>
          <w:sz w:val="32"/>
          <w:highlight w:val="white"/>
          <w:lang w:val="en-US"/>
        </w:rPr>
        <w:t>经费支出决算情况说明</w:t>
      </w:r>
    </w:p>
    <w:p>
      <w:pPr>
        <w:spacing w:beforeLines="0" w:afterLines="0" w:line="324" w:lineRule="auto"/>
        <w:ind w:firstLine="594"/>
        <w:rPr>
          <w:rFonts w:hint="eastAsia" w:ascii="仿宋" w:hAnsi="仿宋" w:eastAsia="仿宋"/>
          <w:b/>
          <w:color w:val="000000"/>
          <w:sz w:val="32"/>
          <w:highlight w:val="white"/>
          <w:lang w:val="en-US"/>
        </w:rPr>
      </w:pPr>
      <w:r>
        <w:rPr>
          <w:rFonts w:hint="eastAsia" w:ascii="仿宋" w:hAnsi="仿宋" w:eastAsia="仿宋"/>
          <w:b/>
          <w:color w:val="000000"/>
          <w:sz w:val="32"/>
          <w:highlight w:val="white"/>
          <w:lang w:val="en-US"/>
        </w:rPr>
        <w:t>1.</w:t>
      </w:r>
      <w:r>
        <w:rPr>
          <w:rFonts w:hint="default" w:ascii="仿宋" w:hAnsi="仿宋" w:eastAsia="仿宋"/>
          <w:b/>
          <w:color w:val="000000"/>
          <w:sz w:val="32"/>
          <w:highlight w:val="white"/>
          <w:lang w:val="en-US"/>
        </w:rPr>
        <w:t>“</w:t>
      </w:r>
      <w:r>
        <w:rPr>
          <w:rFonts w:hint="eastAsia" w:ascii="仿宋" w:hAnsi="仿宋" w:eastAsia="仿宋"/>
          <w:b/>
          <w:color w:val="000000"/>
          <w:sz w:val="32"/>
          <w:highlight w:val="white"/>
          <w:lang w:val="en-US"/>
        </w:rPr>
        <w:t>三公</w:t>
      </w:r>
      <w:r>
        <w:rPr>
          <w:rFonts w:hint="default" w:ascii="仿宋" w:hAnsi="仿宋" w:eastAsia="仿宋"/>
          <w:b/>
          <w:color w:val="000000"/>
          <w:sz w:val="32"/>
          <w:highlight w:val="white"/>
          <w:lang w:val="en-US"/>
        </w:rPr>
        <w:t>”</w:t>
      </w:r>
      <w:r>
        <w:rPr>
          <w:rFonts w:hint="eastAsia" w:ascii="仿宋" w:hAnsi="仿宋" w:eastAsia="仿宋"/>
          <w:b/>
          <w:color w:val="000000"/>
          <w:sz w:val="32"/>
          <w:highlight w:val="white"/>
          <w:lang w:val="en-US"/>
        </w:rPr>
        <w:t xml:space="preserve">经费一般公共预算财政拨款支出决算总体情况说明。 </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2021年度</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三公</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经费一般公共预算财政拨款支出预算为</w:t>
      </w:r>
      <w:r>
        <w:rPr>
          <w:rFonts w:hint="eastAsia" w:ascii="仿宋" w:hAnsi="仿宋" w:eastAsia="仿宋"/>
          <w:color w:val="000000"/>
          <w:sz w:val="32"/>
          <w:highlight w:val="white"/>
          <w:lang w:val="en-US" w:eastAsia="zh-CN"/>
        </w:rPr>
        <w:t>348.68</w:t>
      </w:r>
      <w:r>
        <w:rPr>
          <w:rFonts w:hint="eastAsia" w:ascii="仿宋" w:hAnsi="仿宋" w:eastAsia="仿宋"/>
          <w:color w:val="000000"/>
          <w:sz w:val="32"/>
          <w:highlight w:val="white"/>
          <w:lang w:val="en-US"/>
        </w:rPr>
        <w:t>万元，支出决算为348.68万元，完成预算的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%。决算数</w:t>
      </w:r>
      <w:r>
        <w:rPr>
          <w:rFonts w:hint="eastAsia" w:ascii="仿宋" w:hAnsi="仿宋" w:eastAsia="仿宋"/>
          <w:color w:val="000000"/>
          <w:sz w:val="32"/>
          <w:highlight w:val="white"/>
          <w:lang w:val="en-US" w:eastAsia="zh-CN"/>
        </w:rPr>
        <w:t>等于</w:t>
      </w:r>
      <w:r>
        <w:rPr>
          <w:rFonts w:hint="eastAsia" w:ascii="仿宋" w:hAnsi="仿宋" w:eastAsia="仿宋"/>
          <w:color w:val="000000"/>
          <w:sz w:val="32"/>
          <w:highlight w:val="white"/>
          <w:lang w:val="en-US"/>
        </w:rPr>
        <w:t>预算数的主要原因是</w:t>
      </w:r>
      <w:r>
        <w:rPr>
          <w:rFonts w:hint="eastAsia" w:ascii="仿宋" w:hAnsi="仿宋" w:eastAsia="仿宋"/>
          <w:color w:val="000000"/>
          <w:sz w:val="32"/>
          <w:highlight w:val="white"/>
          <w:lang w:val="en-US" w:eastAsia="zh-CN"/>
        </w:rPr>
        <w:t>严格执行年初预算</w:t>
      </w:r>
      <w:r>
        <w:rPr>
          <w:rFonts w:hint="eastAsia" w:ascii="仿宋" w:hAnsi="仿宋" w:eastAsia="仿宋"/>
          <w:color w:val="000000"/>
          <w:sz w:val="32"/>
          <w:highlight w:val="white"/>
          <w:lang w:val="en-US"/>
        </w:rPr>
        <w:t>。</w:t>
      </w:r>
    </w:p>
    <w:p>
      <w:pPr>
        <w:spacing w:beforeLines="0" w:afterLines="0" w:line="324" w:lineRule="auto"/>
        <w:ind w:firstLine="594"/>
        <w:rPr>
          <w:rFonts w:hint="eastAsia" w:ascii="仿宋" w:hAnsi="仿宋" w:eastAsia="仿宋"/>
          <w:color w:val="000000"/>
          <w:sz w:val="32"/>
          <w:highlight w:val="white"/>
          <w:lang w:val="en-US"/>
        </w:rPr>
      </w:pPr>
    </w:p>
    <w:p>
      <w:pPr>
        <w:spacing w:beforeLines="0" w:afterLines="0" w:line="324" w:lineRule="auto"/>
        <w:ind w:firstLine="594"/>
        <w:rPr>
          <w:rFonts w:hint="eastAsia" w:ascii="仿宋" w:hAnsi="仿宋" w:eastAsia="仿宋"/>
          <w:b/>
          <w:color w:val="000000"/>
          <w:sz w:val="32"/>
          <w:highlight w:val="white"/>
          <w:lang w:val="en-US"/>
        </w:rPr>
      </w:pPr>
      <w:r>
        <w:rPr>
          <w:rFonts w:hint="eastAsia" w:ascii="仿宋" w:hAnsi="仿宋" w:eastAsia="仿宋"/>
          <w:b/>
          <w:color w:val="000000"/>
          <w:sz w:val="32"/>
          <w:highlight w:val="white"/>
          <w:lang w:val="en-US"/>
        </w:rPr>
        <w:t>2.</w:t>
      </w:r>
      <w:r>
        <w:rPr>
          <w:rFonts w:hint="default" w:ascii="仿宋" w:hAnsi="仿宋" w:eastAsia="仿宋"/>
          <w:b/>
          <w:color w:val="000000"/>
          <w:sz w:val="32"/>
          <w:highlight w:val="white"/>
          <w:lang w:val="en-US"/>
        </w:rPr>
        <w:t>“</w:t>
      </w:r>
      <w:r>
        <w:rPr>
          <w:rFonts w:hint="eastAsia" w:ascii="仿宋" w:hAnsi="仿宋" w:eastAsia="仿宋"/>
          <w:b/>
          <w:color w:val="000000"/>
          <w:sz w:val="32"/>
          <w:highlight w:val="white"/>
          <w:lang w:val="en-US"/>
        </w:rPr>
        <w:t>三公</w:t>
      </w:r>
      <w:r>
        <w:rPr>
          <w:rFonts w:hint="default" w:ascii="仿宋" w:hAnsi="仿宋" w:eastAsia="仿宋"/>
          <w:b/>
          <w:color w:val="000000"/>
          <w:sz w:val="32"/>
          <w:highlight w:val="white"/>
          <w:lang w:val="en-US"/>
        </w:rPr>
        <w:t>”</w:t>
      </w:r>
      <w:r>
        <w:rPr>
          <w:rFonts w:hint="eastAsia" w:ascii="仿宋" w:hAnsi="仿宋" w:eastAsia="仿宋"/>
          <w:b/>
          <w:color w:val="000000"/>
          <w:sz w:val="32"/>
          <w:highlight w:val="white"/>
          <w:lang w:val="en-US"/>
        </w:rPr>
        <w:t>经费一般公共预算财政拨款支出决算具体情况说明。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2021年度</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三公</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经费一般公共预算财政拨款支出决算中，因公出国（境）费用支出决算为0万元，占0%，与2020年度相比，增加/减少</w:t>
      </w:r>
      <w:r>
        <w:rPr>
          <w:rFonts w:hint="eastAsia" w:ascii="仿宋" w:hAnsi="仿宋" w:eastAsia="仿宋"/>
          <w:color w:val="000000"/>
          <w:sz w:val="32"/>
          <w:highlight w:val="white"/>
          <w:lang w:val="en-US" w:eastAsia="zh-CN"/>
        </w:rPr>
        <w:t>0</w:t>
      </w:r>
      <w:r>
        <w:rPr>
          <w:rFonts w:hint="eastAsia" w:ascii="仿宋" w:hAnsi="仿宋" w:eastAsia="仿宋"/>
          <w:color w:val="000000"/>
          <w:sz w:val="32"/>
          <w:highlight w:val="white"/>
          <w:lang w:val="en-US"/>
        </w:rPr>
        <w:t>万元，增长/下降</w:t>
      </w:r>
      <w:r>
        <w:rPr>
          <w:rFonts w:hint="eastAsia" w:ascii="仿宋" w:hAnsi="仿宋" w:eastAsia="仿宋"/>
          <w:color w:val="000000"/>
          <w:sz w:val="32"/>
          <w:highlight w:val="white"/>
          <w:lang w:val="en-US" w:eastAsia="zh-CN"/>
        </w:rPr>
        <w:t>0</w:t>
      </w:r>
      <w:r>
        <w:rPr>
          <w:rFonts w:hint="eastAsia" w:ascii="仿宋" w:hAnsi="仿宋" w:eastAsia="仿宋"/>
          <w:color w:val="000000"/>
          <w:sz w:val="32"/>
          <w:highlight w:val="white"/>
          <w:lang w:val="en-US"/>
        </w:rPr>
        <w:t>%；公务用车购置及运行维护费支出决算为348.2万元，占99.86%，与2020年度相比，减少</w:t>
      </w:r>
      <w:r>
        <w:rPr>
          <w:rFonts w:hint="eastAsia" w:ascii="仿宋" w:hAnsi="仿宋" w:eastAsia="仿宋"/>
          <w:color w:val="000000"/>
          <w:sz w:val="32"/>
          <w:highlight w:val="white"/>
          <w:lang w:val="en-US" w:eastAsia="zh-CN"/>
        </w:rPr>
        <w:t>78.76</w:t>
      </w:r>
      <w:r>
        <w:rPr>
          <w:rFonts w:hint="eastAsia" w:ascii="仿宋" w:hAnsi="仿宋" w:eastAsia="仿宋"/>
          <w:color w:val="000000"/>
          <w:sz w:val="32"/>
          <w:highlight w:val="white"/>
          <w:lang w:val="en-US"/>
        </w:rPr>
        <w:t>万元，下降</w:t>
      </w:r>
      <w:r>
        <w:rPr>
          <w:rFonts w:hint="eastAsia" w:ascii="仿宋" w:hAnsi="仿宋" w:eastAsia="仿宋"/>
          <w:color w:val="000000"/>
          <w:sz w:val="32"/>
          <w:highlight w:val="white"/>
          <w:lang w:val="en-US" w:eastAsia="zh-CN"/>
        </w:rPr>
        <w:t>22.45</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比上年少购置7辆车</w:t>
      </w:r>
      <w:r>
        <w:rPr>
          <w:rFonts w:hint="eastAsia" w:ascii="仿宋" w:hAnsi="仿宋" w:eastAsia="仿宋"/>
          <w:color w:val="000000"/>
          <w:sz w:val="32"/>
          <w:highlight w:val="white"/>
          <w:lang w:val="en-US"/>
        </w:rPr>
        <w:t>；公务接待费支出决算为0.48万元，占0.14%，与2020年度相比，增加</w:t>
      </w:r>
      <w:r>
        <w:rPr>
          <w:rFonts w:hint="eastAsia" w:ascii="仿宋" w:hAnsi="仿宋" w:eastAsia="仿宋"/>
          <w:color w:val="000000"/>
          <w:sz w:val="32"/>
          <w:highlight w:val="white"/>
          <w:lang w:val="en-US" w:eastAsia="zh-CN"/>
        </w:rPr>
        <w:t>0.19</w:t>
      </w:r>
      <w:r>
        <w:rPr>
          <w:rFonts w:hint="eastAsia" w:ascii="仿宋" w:hAnsi="仿宋" w:eastAsia="仿宋"/>
          <w:color w:val="000000"/>
          <w:sz w:val="32"/>
          <w:highlight w:val="white"/>
          <w:lang w:val="en-US"/>
        </w:rPr>
        <w:t>万元，增长</w:t>
      </w:r>
      <w:r>
        <w:rPr>
          <w:rFonts w:hint="eastAsia" w:ascii="仿宋" w:hAnsi="仿宋" w:eastAsia="仿宋"/>
          <w:color w:val="000000"/>
          <w:sz w:val="32"/>
          <w:highlight w:val="white"/>
          <w:lang w:val="en-US" w:eastAsia="zh-CN"/>
        </w:rPr>
        <w:t>39.58</w:t>
      </w:r>
      <w:r>
        <w:rPr>
          <w:rFonts w:hint="eastAsia" w:ascii="仿宋" w:hAnsi="仿宋" w:eastAsia="仿宋"/>
          <w:color w:val="000000"/>
          <w:sz w:val="32"/>
          <w:highlight w:val="white"/>
          <w:lang w:val="en-US"/>
        </w:rPr>
        <w:t>%，主要原因是</w:t>
      </w:r>
      <w:r>
        <w:rPr>
          <w:rFonts w:hint="eastAsia" w:ascii="仿宋" w:hAnsi="仿宋" w:eastAsia="仿宋"/>
          <w:color w:val="000000"/>
          <w:sz w:val="32"/>
          <w:highlight w:val="white"/>
          <w:lang w:val="en-US" w:eastAsia="zh-CN"/>
        </w:rPr>
        <w:t>接待人数增加</w:t>
      </w:r>
      <w:r>
        <w:rPr>
          <w:rFonts w:hint="eastAsia" w:ascii="仿宋" w:hAnsi="仿宋" w:eastAsia="仿宋"/>
          <w:color w:val="000000"/>
          <w:sz w:val="32"/>
          <w:highlight w:val="white"/>
          <w:lang w:val="en-US"/>
        </w:rPr>
        <w:t>。具体情况如下：</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（1）因公出国（境）费</w:t>
      </w:r>
      <w:r>
        <w:rPr>
          <w:rFonts w:hint="eastAsia" w:ascii="仿宋" w:hAnsi="仿宋" w:eastAsia="仿宋"/>
          <w:color w:val="000000"/>
          <w:sz w:val="32"/>
          <w:highlight w:val="white"/>
          <w:lang w:val="en-US"/>
        </w:rPr>
        <w:t>预算数为</w:t>
      </w:r>
      <w:r>
        <w:rPr>
          <w:rFonts w:hint="eastAsia" w:ascii="仿宋" w:hAnsi="仿宋" w:eastAsia="仿宋"/>
          <w:color w:val="000000"/>
          <w:sz w:val="32"/>
          <w:highlight w:val="white"/>
          <w:lang w:val="en-US" w:eastAsia="zh-CN"/>
        </w:rPr>
        <w:t>0</w:t>
      </w:r>
      <w:r>
        <w:rPr>
          <w:rFonts w:hint="eastAsia" w:ascii="仿宋" w:hAnsi="仿宋" w:eastAsia="仿宋"/>
          <w:color w:val="000000"/>
          <w:sz w:val="32"/>
          <w:highlight w:val="white"/>
          <w:lang w:val="en-US"/>
        </w:rPr>
        <w:t>万元，支出决算为</w:t>
      </w:r>
      <w:r>
        <w:rPr>
          <w:rFonts w:hint="eastAsia" w:ascii="仿宋" w:hAnsi="仿宋" w:eastAsia="仿宋"/>
          <w:color w:val="auto"/>
          <w:sz w:val="30"/>
          <w:highlight w:val="white"/>
          <w:lang w:val="zh-CN"/>
        </w:rPr>
        <w:t>0</w:t>
      </w:r>
      <w:r>
        <w:rPr>
          <w:rFonts w:hint="eastAsia" w:ascii="仿宋" w:hAnsi="仿宋" w:eastAsia="仿宋"/>
          <w:color w:val="000000"/>
          <w:sz w:val="32"/>
          <w:highlight w:val="white"/>
          <w:lang w:val="en-US"/>
        </w:rPr>
        <w:t>万元。完成预算的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%。主要用于机关及下属预算单位人员的等公务出国（境）的住宿费、国际旅费、培训费、公杂费等支出。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（2）公务用车购置及运行维护费</w:t>
      </w:r>
      <w:r>
        <w:rPr>
          <w:rFonts w:hint="eastAsia" w:ascii="仿宋" w:hAnsi="仿宋" w:eastAsia="仿宋"/>
          <w:color w:val="000000"/>
          <w:sz w:val="32"/>
          <w:highlight w:val="white"/>
          <w:lang w:val="en-US"/>
        </w:rPr>
        <w:t>预算数为</w:t>
      </w:r>
      <w:r>
        <w:rPr>
          <w:rFonts w:hint="eastAsia" w:ascii="仿宋" w:hAnsi="仿宋" w:eastAsia="仿宋"/>
          <w:color w:val="000000"/>
          <w:sz w:val="32"/>
          <w:highlight w:val="white"/>
          <w:lang w:val="en-US" w:eastAsia="zh-CN"/>
        </w:rPr>
        <w:t>348.20</w:t>
      </w:r>
      <w:r>
        <w:rPr>
          <w:rFonts w:hint="eastAsia" w:ascii="仿宋" w:hAnsi="仿宋" w:eastAsia="仿宋"/>
          <w:color w:val="000000"/>
          <w:sz w:val="32"/>
          <w:highlight w:val="white"/>
          <w:lang w:val="en-US"/>
        </w:rPr>
        <w:t>万元，支出决算为348.2万元，完成预算的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%。决算数</w:t>
      </w:r>
      <w:r>
        <w:rPr>
          <w:rFonts w:hint="eastAsia" w:ascii="仿宋" w:hAnsi="仿宋" w:eastAsia="仿宋"/>
          <w:color w:val="000000"/>
          <w:sz w:val="32"/>
          <w:highlight w:val="white"/>
          <w:lang w:val="en-US" w:eastAsia="zh-CN"/>
        </w:rPr>
        <w:t>等于</w:t>
      </w:r>
      <w:r>
        <w:rPr>
          <w:rFonts w:hint="eastAsia" w:ascii="仿宋" w:hAnsi="仿宋" w:eastAsia="仿宋"/>
          <w:color w:val="000000"/>
          <w:sz w:val="32"/>
          <w:highlight w:val="white"/>
          <w:lang w:val="en-US"/>
        </w:rPr>
        <w:t>预算数的主要原因是</w:t>
      </w:r>
      <w:r>
        <w:rPr>
          <w:rFonts w:hint="eastAsia" w:ascii="仿宋" w:hAnsi="仿宋" w:eastAsia="仿宋"/>
          <w:color w:val="000000"/>
          <w:sz w:val="32"/>
          <w:highlight w:val="white"/>
          <w:lang w:val="en-US" w:eastAsia="zh-CN"/>
        </w:rPr>
        <w:t>严格执行年初预算</w:t>
      </w:r>
      <w:r>
        <w:rPr>
          <w:rFonts w:hint="eastAsia" w:ascii="仿宋" w:hAnsi="仿宋" w:eastAsia="仿宋"/>
          <w:color w:val="000000"/>
          <w:sz w:val="32"/>
          <w:highlight w:val="white"/>
          <w:lang w:val="en-US"/>
        </w:rPr>
        <w:t>。</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公务用车购置</w:t>
      </w:r>
      <w:r>
        <w:rPr>
          <w:rFonts w:hint="eastAsia" w:ascii="仿宋" w:hAnsi="仿宋" w:eastAsia="仿宋"/>
          <w:color w:val="000000"/>
          <w:sz w:val="32"/>
          <w:highlight w:val="white"/>
          <w:lang w:val="en-US"/>
        </w:rPr>
        <w:t>预算数为</w:t>
      </w:r>
      <w:r>
        <w:rPr>
          <w:rFonts w:hint="eastAsia" w:ascii="仿宋" w:hAnsi="仿宋" w:eastAsia="仿宋"/>
          <w:color w:val="000000"/>
          <w:sz w:val="32"/>
          <w:highlight w:val="white"/>
          <w:lang w:val="en-US" w:eastAsia="zh-CN"/>
        </w:rPr>
        <w:t>80.94</w:t>
      </w:r>
      <w:r>
        <w:rPr>
          <w:rFonts w:hint="eastAsia" w:ascii="仿宋" w:hAnsi="仿宋" w:eastAsia="仿宋"/>
          <w:color w:val="000000"/>
          <w:sz w:val="32"/>
          <w:highlight w:val="white"/>
          <w:lang w:val="en-US"/>
        </w:rPr>
        <w:t>万元，支出决算为</w:t>
      </w:r>
      <w:r>
        <w:rPr>
          <w:rFonts w:hint="eastAsia" w:ascii="仿宋" w:hAnsi="仿宋" w:eastAsia="仿宋"/>
          <w:color w:val="auto"/>
          <w:sz w:val="30"/>
          <w:highlight w:val="white"/>
          <w:lang w:val="zh-CN"/>
        </w:rPr>
        <w:t>80.94</w:t>
      </w:r>
      <w:r>
        <w:rPr>
          <w:rFonts w:hint="eastAsia" w:ascii="仿宋" w:hAnsi="仿宋" w:eastAsia="仿宋"/>
          <w:color w:val="000000"/>
          <w:sz w:val="32"/>
          <w:highlight w:val="white"/>
          <w:lang w:val="en-US"/>
        </w:rPr>
        <w:t>万元（含购置税等附加费用），完成预算的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%。主要用于经批准购置的</w:t>
      </w:r>
      <w:r>
        <w:rPr>
          <w:rFonts w:hint="eastAsia" w:ascii="仿宋" w:hAnsi="仿宋" w:eastAsia="仿宋"/>
          <w:color w:val="auto"/>
          <w:sz w:val="30"/>
          <w:highlight w:val="white"/>
          <w:lang w:val="zh-CN"/>
        </w:rPr>
        <w:t>3</w:t>
      </w:r>
      <w:r>
        <w:rPr>
          <w:rFonts w:hint="eastAsia" w:ascii="仿宋" w:hAnsi="仿宋" w:eastAsia="仿宋"/>
          <w:color w:val="000000"/>
          <w:sz w:val="32"/>
          <w:highlight w:val="white"/>
          <w:lang w:val="en-US"/>
        </w:rPr>
        <w:t>辆公务用车；</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公务用车运行维护费</w:t>
      </w:r>
      <w:r>
        <w:rPr>
          <w:rFonts w:hint="eastAsia" w:ascii="仿宋" w:hAnsi="仿宋" w:eastAsia="仿宋"/>
          <w:color w:val="000000"/>
          <w:sz w:val="32"/>
          <w:highlight w:val="white"/>
          <w:lang w:val="en-US"/>
        </w:rPr>
        <w:t>预算数为</w:t>
      </w:r>
      <w:r>
        <w:rPr>
          <w:rFonts w:hint="eastAsia" w:ascii="仿宋" w:hAnsi="仿宋" w:eastAsia="仿宋"/>
          <w:color w:val="000000"/>
          <w:sz w:val="32"/>
          <w:highlight w:val="white"/>
          <w:lang w:val="en-US" w:eastAsia="zh-CN"/>
        </w:rPr>
        <w:t>267.26</w:t>
      </w:r>
      <w:r>
        <w:rPr>
          <w:rFonts w:hint="eastAsia" w:ascii="仿宋" w:hAnsi="仿宋" w:eastAsia="仿宋"/>
          <w:color w:val="000000"/>
          <w:sz w:val="32"/>
          <w:highlight w:val="white"/>
          <w:lang w:val="en-US"/>
        </w:rPr>
        <w:t>万元，支出</w:t>
      </w:r>
      <w:r>
        <w:rPr>
          <w:rFonts w:hint="eastAsia" w:ascii="仿宋" w:hAnsi="仿宋" w:eastAsia="仿宋"/>
          <w:color w:val="auto"/>
          <w:sz w:val="30"/>
          <w:highlight w:val="white"/>
          <w:lang w:val="zh-CN"/>
        </w:rPr>
        <w:t>267.26</w:t>
      </w:r>
      <w:r>
        <w:rPr>
          <w:rFonts w:hint="eastAsia" w:ascii="仿宋" w:hAnsi="仿宋" w:eastAsia="仿宋"/>
          <w:color w:val="000000"/>
          <w:sz w:val="32"/>
          <w:highlight w:val="white"/>
          <w:lang w:val="en-US"/>
        </w:rPr>
        <w:t>万元，完成预算的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%。决算数小于（或大于）预算数的主要原因是</w:t>
      </w:r>
      <w:r>
        <w:rPr>
          <w:rFonts w:hint="eastAsia" w:ascii="仿宋" w:hAnsi="仿宋" w:eastAsia="仿宋"/>
          <w:color w:val="000000"/>
          <w:sz w:val="32"/>
          <w:highlight w:val="white"/>
          <w:lang w:val="en-US" w:eastAsia="zh-CN"/>
        </w:rPr>
        <w:t>严格执行年初预算</w:t>
      </w:r>
      <w:r>
        <w:rPr>
          <w:rFonts w:hint="eastAsia" w:ascii="仿宋" w:hAnsi="仿宋" w:eastAsia="仿宋"/>
          <w:color w:val="000000"/>
          <w:sz w:val="32"/>
          <w:highlight w:val="white"/>
          <w:lang w:val="en-US"/>
        </w:rPr>
        <w:t>。主要用于公务活动及处理应急事件等所需的公务用车燃料费、维修费、过路过桥费、保险费等支出；2021年度，本级及所属单位开支一般公共预算财政拨款的公务用车保有量为</w:t>
      </w:r>
      <w:r>
        <w:rPr>
          <w:rFonts w:hint="eastAsia" w:ascii="仿宋" w:hAnsi="仿宋" w:eastAsia="仿宋"/>
          <w:color w:val="auto"/>
          <w:sz w:val="30"/>
          <w:highlight w:val="white"/>
          <w:lang w:val="zh-CN"/>
        </w:rPr>
        <w:t>7</w:t>
      </w:r>
      <w:r>
        <w:rPr>
          <w:rFonts w:hint="eastAsia" w:ascii="仿宋" w:hAnsi="仿宋" w:eastAsia="仿宋"/>
          <w:color w:val="auto"/>
          <w:sz w:val="30"/>
          <w:highlight w:val="white"/>
          <w:lang w:val="en-US" w:eastAsia="zh-CN"/>
        </w:rPr>
        <w:t>5</w:t>
      </w:r>
      <w:r>
        <w:rPr>
          <w:rFonts w:hint="eastAsia" w:ascii="仿宋" w:hAnsi="仿宋" w:eastAsia="仿宋"/>
          <w:color w:val="000000"/>
          <w:sz w:val="32"/>
          <w:highlight w:val="white"/>
          <w:lang w:val="en-US"/>
        </w:rPr>
        <w:t>辆。</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（3）公务接待费</w:t>
      </w:r>
      <w:r>
        <w:rPr>
          <w:rFonts w:hint="eastAsia" w:ascii="仿宋" w:hAnsi="仿宋" w:eastAsia="仿宋"/>
          <w:color w:val="000000"/>
          <w:sz w:val="32"/>
          <w:highlight w:val="white"/>
          <w:lang w:val="en-US"/>
        </w:rPr>
        <w:t>预算数为</w:t>
      </w:r>
      <w:r>
        <w:rPr>
          <w:rFonts w:hint="eastAsia" w:ascii="仿宋" w:hAnsi="仿宋" w:eastAsia="仿宋"/>
          <w:color w:val="000000"/>
          <w:sz w:val="32"/>
          <w:highlight w:val="white"/>
          <w:lang w:val="en-US" w:eastAsia="zh-CN"/>
        </w:rPr>
        <w:t>0.48</w:t>
      </w:r>
      <w:r>
        <w:rPr>
          <w:rFonts w:hint="eastAsia" w:ascii="仿宋" w:hAnsi="仿宋" w:eastAsia="仿宋"/>
          <w:color w:val="000000"/>
          <w:sz w:val="32"/>
          <w:highlight w:val="white"/>
          <w:lang w:val="en-US"/>
        </w:rPr>
        <w:t>万元，支出决算为0.48万元，完成预算的</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%。国内公务接待7批次，累计59人次。主要用于接待</w:t>
      </w:r>
      <w:r>
        <w:rPr>
          <w:rFonts w:hint="eastAsia" w:ascii="仿宋_GB2312" w:eastAsia="仿宋_GB2312"/>
          <w:sz w:val="32"/>
        </w:rPr>
        <w:t>上级部门、其他县市相关单位等</w:t>
      </w:r>
      <w:r>
        <w:rPr>
          <w:rFonts w:hint="eastAsia" w:ascii="仿宋_GB2312" w:hAnsi="Times New Roman" w:eastAsia="仿宋_GB2312"/>
          <w:sz w:val="32"/>
        </w:rPr>
        <w:t>支出</w:t>
      </w:r>
      <w:r>
        <w:rPr>
          <w:rFonts w:hint="eastAsia" w:ascii="仿宋" w:hAnsi="仿宋" w:eastAsia="仿宋"/>
          <w:color w:val="000000"/>
          <w:sz w:val="32"/>
          <w:highlight w:val="white"/>
          <w:lang w:val="en-US"/>
        </w:rPr>
        <w:t>等支出。其中：</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外事接待</w:t>
      </w:r>
      <w:r>
        <w:rPr>
          <w:rFonts w:hint="eastAsia" w:ascii="仿宋" w:hAnsi="仿宋" w:eastAsia="仿宋"/>
          <w:color w:val="000000"/>
          <w:sz w:val="32"/>
          <w:highlight w:val="white"/>
          <w:lang w:val="en-US"/>
        </w:rPr>
        <w:t>支出0万元，接待0批次，累计0人次。</w:t>
      </w:r>
    </w:p>
    <w:p>
      <w:pPr>
        <w:spacing w:beforeLines="0" w:afterLines="0" w:line="324" w:lineRule="auto"/>
        <w:ind w:firstLine="594"/>
        <w:rPr>
          <w:rFonts w:hint="default" w:ascii="Times New Roman" w:hAnsi="Times New Roman" w:eastAsia="Times New Roman"/>
          <w:color w:val="000000"/>
          <w:sz w:val="32"/>
          <w:highlight w:val="white"/>
          <w:lang w:val="en-US"/>
        </w:rPr>
      </w:pPr>
      <w:r>
        <w:rPr>
          <w:rFonts w:hint="eastAsia" w:ascii="仿宋" w:hAnsi="仿宋" w:eastAsia="仿宋"/>
          <w:b/>
          <w:color w:val="000000"/>
          <w:sz w:val="32"/>
          <w:highlight w:val="white"/>
          <w:lang w:val="en-US"/>
        </w:rPr>
        <w:t>其他国内公务接待</w:t>
      </w:r>
      <w:r>
        <w:rPr>
          <w:rFonts w:hint="eastAsia" w:ascii="仿宋" w:hAnsi="仿宋" w:eastAsia="仿宋"/>
          <w:color w:val="000000"/>
          <w:sz w:val="32"/>
          <w:highlight w:val="white"/>
          <w:lang w:val="en-US"/>
        </w:rPr>
        <w:t>支出0.48万元，主要用于</w:t>
      </w:r>
      <w:r>
        <w:rPr>
          <w:rFonts w:hint="eastAsia" w:ascii="仿宋_GB2312" w:eastAsia="仿宋_GB2312"/>
          <w:sz w:val="32"/>
        </w:rPr>
        <w:t>上级部门、其他县市相关单位</w:t>
      </w:r>
      <w:r>
        <w:rPr>
          <w:rFonts w:hint="eastAsia" w:ascii="仿宋_GB2312" w:eastAsia="仿宋_GB2312"/>
          <w:sz w:val="32"/>
          <w:lang w:eastAsia="zh-CN"/>
        </w:rPr>
        <w:t>等</w:t>
      </w:r>
      <w:r>
        <w:rPr>
          <w:rFonts w:hint="eastAsia" w:ascii="仿宋" w:hAnsi="仿宋" w:eastAsia="仿宋"/>
          <w:color w:val="000000"/>
          <w:sz w:val="32"/>
          <w:highlight w:val="white"/>
          <w:lang w:val="en-US"/>
        </w:rPr>
        <w:t>接待7批次，累计59人次。</w:t>
      </w:r>
    </w:p>
    <w:p>
      <w:pPr>
        <w:spacing w:beforeLines="0" w:afterLines="0" w:line="324" w:lineRule="auto"/>
        <w:ind w:firstLine="594"/>
        <w:rPr>
          <w:rFonts w:hint="eastAsia" w:ascii="仿宋" w:hAnsi="仿宋" w:eastAsia="仿宋"/>
          <w:color w:val="000000"/>
          <w:sz w:val="32"/>
          <w:highlight w:val="white"/>
          <w:lang w:val="en-US"/>
        </w:rPr>
      </w:pPr>
      <w:r>
        <w:rPr>
          <w:rFonts w:hint="eastAsia" w:ascii="楷体" w:hAnsi="楷体" w:eastAsia="楷体"/>
          <w:b/>
          <w:color w:val="000000"/>
          <w:sz w:val="32"/>
          <w:highlight w:val="white"/>
          <w:lang w:val="en-US"/>
        </w:rPr>
        <w:t>（十）机关运行经费支出说明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2021年度机关运行经费年初预算数为</w:t>
      </w:r>
      <w:r>
        <w:rPr>
          <w:rFonts w:hint="eastAsia" w:ascii="仿宋" w:hAnsi="仿宋" w:eastAsia="仿宋"/>
          <w:color w:val="000000"/>
          <w:sz w:val="32"/>
          <w:highlight w:val="white"/>
          <w:lang w:val="en-US" w:eastAsia="zh-CN"/>
        </w:rPr>
        <w:t>0</w:t>
      </w:r>
      <w:r>
        <w:rPr>
          <w:rFonts w:hint="eastAsia" w:ascii="仿宋" w:hAnsi="仿宋" w:eastAsia="仿宋"/>
          <w:color w:val="000000"/>
          <w:sz w:val="32"/>
          <w:highlight w:val="white"/>
          <w:lang w:val="en-US"/>
        </w:rPr>
        <w:t>万元，支出决算为</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万元，完成年初预算的</w:t>
      </w:r>
      <w:r>
        <w:rPr>
          <w:rFonts w:hint="eastAsia" w:ascii="仿宋" w:hAnsi="仿宋" w:eastAsia="仿宋"/>
          <w:color w:val="000000"/>
          <w:sz w:val="32"/>
          <w:highlight w:val="white"/>
          <w:lang w:val="en-US" w:eastAsia="zh-CN"/>
        </w:rPr>
        <w:t>0</w:t>
      </w:r>
      <w:r>
        <w:rPr>
          <w:rFonts w:hint="eastAsia" w:ascii="仿宋" w:hAnsi="仿宋" w:eastAsia="仿宋"/>
          <w:color w:val="000000"/>
          <w:sz w:val="32"/>
          <w:highlight w:val="white"/>
          <w:lang w:val="en-US"/>
        </w:rPr>
        <w:t>%。</w:t>
      </w:r>
    </w:p>
    <w:p>
      <w:pPr>
        <w:spacing w:beforeLines="0" w:afterLines="0" w:line="324" w:lineRule="auto"/>
        <w:ind w:firstLine="594"/>
        <w:rPr>
          <w:rFonts w:hint="eastAsia" w:ascii="楷体" w:hAnsi="楷体" w:eastAsia="楷体"/>
          <w:b/>
          <w:color w:val="000000"/>
          <w:sz w:val="32"/>
          <w:highlight w:val="white"/>
          <w:lang w:val="en-US"/>
        </w:rPr>
      </w:pPr>
      <w:r>
        <w:rPr>
          <w:rFonts w:hint="eastAsia" w:ascii="楷体" w:hAnsi="楷体" w:eastAsia="楷体"/>
          <w:b/>
          <w:color w:val="000000"/>
          <w:sz w:val="32"/>
          <w:highlight w:val="white"/>
          <w:lang w:val="en-US"/>
        </w:rPr>
        <w:t>（十一）政府采购支出说明</w:t>
      </w:r>
    </w:p>
    <w:p>
      <w:pPr>
        <w:spacing w:beforeLines="0" w:afterLines="0" w:line="324" w:lineRule="auto"/>
        <w:ind w:firstLine="594"/>
        <w:rPr>
          <w:rFonts w:hint="eastAsia" w:ascii="仿宋" w:hAnsi="仿宋" w:eastAsia="仿宋"/>
          <w:color w:val="auto"/>
          <w:sz w:val="32"/>
          <w:highlight w:val="white"/>
          <w:lang w:val="en-US"/>
        </w:rPr>
      </w:pPr>
      <w:r>
        <w:rPr>
          <w:rFonts w:hint="eastAsia" w:ascii="仿宋" w:hAnsi="仿宋" w:eastAsia="仿宋"/>
          <w:color w:val="000000"/>
          <w:sz w:val="32"/>
          <w:highlight w:val="white"/>
          <w:lang w:val="en-US"/>
        </w:rPr>
        <w:t>2021年度政府采购支出总额</w:t>
      </w:r>
      <w:r>
        <w:rPr>
          <w:rFonts w:hint="eastAsia" w:ascii="仿宋" w:hAnsi="仿宋" w:eastAsia="仿宋"/>
          <w:color w:val="auto"/>
          <w:kern w:val="0"/>
          <w:sz w:val="32"/>
          <w:highlight w:val="white"/>
          <w:lang w:val="en-US"/>
        </w:rPr>
        <w:t>157.06</w:t>
      </w:r>
      <w:r>
        <w:rPr>
          <w:rFonts w:hint="eastAsia" w:ascii="仿宋" w:hAnsi="仿宋" w:eastAsia="仿宋"/>
          <w:color w:val="000000"/>
          <w:sz w:val="32"/>
          <w:highlight w:val="white"/>
          <w:lang w:val="en-US"/>
        </w:rPr>
        <w:t>万元，其中：政府采购货物支出</w:t>
      </w:r>
      <w:r>
        <w:rPr>
          <w:rFonts w:hint="eastAsia" w:ascii="仿宋" w:hAnsi="仿宋" w:eastAsia="仿宋"/>
          <w:color w:val="auto"/>
          <w:kern w:val="0"/>
          <w:sz w:val="32"/>
          <w:highlight w:val="white"/>
          <w:lang w:val="en-US"/>
        </w:rPr>
        <w:t>86.79</w:t>
      </w:r>
      <w:r>
        <w:rPr>
          <w:rFonts w:hint="eastAsia" w:ascii="仿宋" w:hAnsi="仿宋" w:eastAsia="仿宋"/>
          <w:color w:val="000000"/>
          <w:sz w:val="32"/>
          <w:highlight w:val="white"/>
          <w:lang w:val="en-US"/>
        </w:rPr>
        <w:t>万元、政府采购工程支出</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万元、政府采购服务支出</w:t>
      </w:r>
      <w:r>
        <w:rPr>
          <w:rFonts w:hint="eastAsia" w:ascii="仿宋" w:hAnsi="仿宋" w:eastAsia="仿宋"/>
          <w:color w:val="auto"/>
          <w:kern w:val="0"/>
          <w:sz w:val="32"/>
          <w:highlight w:val="white"/>
          <w:lang w:val="en-US"/>
        </w:rPr>
        <w:t>70.27</w:t>
      </w:r>
      <w:r>
        <w:rPr>
          <w:rFonts w:hint="eastAsia" w:ascii="仿宋" w:hAnsi="仿宋" w:eastAsia="仿宋"/>
          <w:color w:val="000000"/>
          <w:sz w:val="32"/>
          <w:highlight w:val="white"/>
          <w:lang w:val="en-US"/>
        </w:rPr>
        <w:t>万元。</w:t>
      </w:r>
      <w:r>
        <w:rPr>
          <w:rFonts w:hint="eastAsia" w:ascii="仿宋" w:hAnsi="仿宋" w:eastAsia="仿宋"/>
          <w:color w:val="auto"/>
          <w:sz w:val="32"/>
          <w:highlight w:val="white"/>
          <w:lang w:val="en-US"/>
        </w:rPr>
        <w:t>授予中小企业合同金额</w:t>
      </w:r>
      <w:r>
        <w:rPr>
          <w:rFonts w:hint="eastAsia" w:ascii="仿宋" w:hAnsi="仿宋" w:eastAsia="仿宋"/>
          <w:color w:val="auto"/>
          <w:kern w:val="0"/>
          <w:sz w:val="32"/>
          <w:highlight w:val="white"/>
          <w:lang w:val="en-US"/>
        </w:rPr>
        <w:t>154.36</w:t>
      </w:r>
      <w:r>
        <w:rPr>
          <w:rFonts w:hint="eastAsia" w:ascii="仿宋" w:hAnsi="仿宋" w:eastAsia="仿宋"/>
          <w:color w:val="auto"/>
          <w:sz w:val="32"/>
          <w:highlight w:val="white"/>
          <w:lang w:val="en-US"/>
        </w:rPr>
        <w:t>万元，占政府采购支出总额的</w:t>
      </w:r>
      <w:r>
        <w:rPr>
          <w:rFonts w:hint="eastAsia" w:ascii="仿宋" w:hAnsi="仿宋" w:eastAsia="仿宋"/>
          <w:color w:val="auto"/>
          <w:kern w:val="0"/>
          <w:sz w:val="32"/>
          <w:highlight w:val="white"/>
          <w:lang w:val="en-US"/>
        </w:rPr>
        <w:t>98.28</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其中，授予小微企业合同金额</w:t>
      </w:r>
      <w:r>
        <w:rPr>
          <w:rFonts w:hint="eastAsia" w:ascii="仿宋" w:hAnsi="仿宋" w:eastAsia="仿宋"/>
          <w:color w:val="auto"/>
          <w:kern w:val="0"/>
          <w:sz w:val="32"/>
          <w:highlight w:val="white"/>
          <w:lang w:val="en-US"/>
        </w:rPr>
        <w:t>78.65</w:t>
      </w:r>
      <w:r>
        <w:rPr>
          <w:rFonts w:hint="eastAsia" w:ascii="仿宋" w:hAnsi="仿宋" w:eastAsia="仿宋"/>
          <w:color w:val="000000"/>
          <w:sz w:val="32"/>
          <w:highlight w:val="white"/>
          <w:lang w:val="en-US"/>
        </w:rPr>
        <w:t>万元，</w:t>
      </w:r>
      <w:r>
        <w:rPr>
          <w:rFonts w:hint="eastAsia" w:ascii="仿宋" w:hAnsi="仿宋" w:eastAsia="仿宋"/>
          <w:color w:val="auto"/>
          <w:sz w:val="32"/>
          <w:highlight w:val="white"/>
          <w:lang w:val="en-US"/>
        </w:rPr>
        <w:t>占授予中小企业合同金额</w:t>
      </w:r>
      <w:r>
        <w:rPr>
          <w:rFonts w:hint="eastAsia" w:ascii="仿宋" w:hAnsi="仿宋" w:eastAsia="仿宋"/>
          <w:color w:val="000000"/>
          <w:sz w:val="32"/>
          <w:highlight w:val="white"/>
          <w:lang w:val="en-US"/>
        </w:rPr>
        <w:t>的</w:t>
      </w:r>
      <w:r>
        <w:rPr>
          <w:rFonts w:hint="eastAsia" w:ascii="仿宋" w:hAnsi="仿宋" w:eastAsia="仿宋"/>
          <w:color w:val="auto"/>
          <w:kern w:val="0"/>
          <w:sz w:val="32"/>
          <w:highlight w:val="white"/>
          <w:lang w:val="en-US"/>
        </w:rPr>
        <w:t>50.95</w:t>
      </w:r>
      <w:r>
        <w:rPr>
          <w:rFonts w:hint="eastAsia" w:ascii="仿宋" w:hAnsi="仿宋" w:eastAsia="仿宋"/>
          <w:color w:val="auto"/>
          <w:sz w:val="32"/>
          <w:highlight w:val="white"/>
          <w:lang w:val="en-US"/>
        </w:rPr>
        <w:t>%；货物采购授予中小企业合同金额占货物支出金额的</w:t>
      </w:r>
      <w:r>
        <w:rPr>
          <w:rFonts w:hint="eastAsia" w:ascii="仿宋" w:hAnsi="仿宋" w:eastAsia="仿宋"/>
          <w:color w:val="000000"/>
          <w:sz w:val="32"/>
          <w:highlight w:val="white"/>
          <w:lang w:val="en-US" w:eastAsia="zh-CN"/>
        </w:rPr>
        <w:t>100</w:t>
      </w:r>
      <w:r>
        <w:rPr>
          <w:rFonts w:hint="eastAsia" w:ascii="仿宋" w:hAnsi="仿宋" w:eastAsia="仿宋"/>
          <w:color w:val="auto"/>
          <w:sz w:val="32"/>
          <w:highlight w:val="white"/>
          <w:lang w:val="en-US"/>
        </w:rPr>
        <w:t>%，工程采购授予中小企业合同金额占工程支出金额的</w:t>
      </w:r>
      <w:r>
        <w:rPr>
          <w:rFonts w:hint="eastAsia" w:ascii="仿宋" w:hAnsi="仿宋" w:eastAsia="仿宋"/>
          <w:color w:val="000000"/>
          <w:sz w:val="32"/>
          <w:highlight w:val="white"/>
          <w:lang w:val="en-US" w:eastAsia="zh-CN"/>
        </w:rPr>
        <w:t>0</w:t>
      </w:r>
      <w:r>
        <w:rPr>
          <w:rFonts w:hint="eastAsia" w:ascii="仿宋" w:hAnsi="仿宋" w:eastAsia="仿宋"/>
          <w:color w:val="auto"/>
          <w:sz w:val="32"/>
          <w:highlight w:val="white"/>
          <w:lang w:val="en-US"/>
        </w:rPr>
        <w:t>%，服务采购授予中小企业合同金额占服务支出金额的</w:t>
      </w:r>
      <w:r>
        <w:rPr>
          <w:rFonts w:hint="eastAsia" w:ascii="仿宋" w:hAnsi="仿宋" w:eastAsia="仿宋"/>
          <w:color w:val="000000"/>
          <w:sz w:val="32"/>
          <w:highlight w:val="white"/>
          <w:lang w:val="en-US" w:eastAsia="zh-CN"/>
        </w:rPr>
        <w:t>96.56</w:t>
      </w:r>
      <w:r>
        <w:rPr>
          <w:rFonts w:hint="eastAsia" w:ascii="仿宋" w:hAnsi="仿宋" w:eastAsia="仿宋"/>
          <w:color w:val="auto"/>
          <w:sz w:val="32"/>
          <w:highlight w:val="white"/>
          <w:lang w:val="en-US"/>
        </w:rPr>
        <w:t>%</w:t>
      </w:r>
      <w:r>
        <w:rPr>
          <w:rFonts w:hint="eastAsia" w:ascii="仿宋" w:hAnsi="仿宋" w:eastAsia="仿宋"/>
          <w:color w:val="000000"/>
          <w:sz w:val="32"/>
          <w:highlight w:val="white"/>
          <w:lang w:val="en-US"/>
        </w:rPr>
        <w:t>。</w:t>
      </w:r>
    </w:p>
    <w:p>
      <w:pPr>
        <w:spacing w:beforeLines="0" w:afterLines="0" w:line="324" w:lineRule="auto"/>
        <w:ind w:firstLine="594"/>
        <w:rPr>
          <w:rFonts w:hint="eastAsia" w:ascii="楷体" w:hAnsi="楷体" w:eastAsia="楷体"/>
          <w:b/>
          <w:color w:val="000000"/>
          <w:sz w:val="32"/>
          <w:highlight w:val="white"/>
          <w:lang w:val="en-US"/>
        </w:rPr>
      </w:pPr>
      <w:r>
        <w:rPr>
          <w:rFonts w:hint="eastAsia" w:ascii="楷体" w:hAnsi="楷体" w:eastAsia="楷体"/>
          <w:b/>
          <w:color w:val="000000"/>
          <w:sz w:val="32"/>
          <w:highlight w:val="white"/>
          <w:lang w:val="en-US"/>
        </w:rPr>
        <w:t>（十二）国有资产占有情况说明</w:t>
      </w:r>
    </w:p>
    <w:p>
      <w:pPr>
        <w:spacing w:beforeLines="0" w:afterLines="0" w:line="324" w:lineRule="auto"/>
        <w:ind w:firstLine="594"/>
        <w:rPr>
          <w:rFonts w:hint="eastAsia" w:ascii="楷体" w:hAnsi="楷体" w:eastAsia="楷体"/>
          <w:b/>
          <w:color w:val="000000"/>
          <w:sz w:val="32"/>
          <w:highlight w:val="white"/>
          <w:lang w:val="en-US"/>
        </w:rPr>
      </w:pPr>
      <w:r>
        <w:rPr>
          <w:rFonts w:hint="eastAsia" w:ascii="仿宋" w:hAnsi="仿宋" w:eastAsia="仿宋"/>
          <w:color w:val="000000"/>
          <w:sz w:val="32"/>
          <w:highlight w:val="white"/>
          <w:lang w:val="en-US"/>
        </w:rPr>
        <w:t>截至2021年12月31日，</w:t>
      </w:r>
      <w:r>
        <w:rPr>
          <w:rFonts w:hint="eastAsia" w:ascii="仿宋" w:hAnsi="仿宋" w:eastAsia="仿宋"/>
          <w:color w:val="000000"/>
          <w:sz w:val="32"/>
          <w:highlight w:val="white"/>
          <w:lang w:val="en-US" w:eastAsia="zh-CN"/>
        </w:rPr>
        <w:t>遂昌县公务用车服务中心</w:t>
      </w:r>
      <w:r>
        <w:rPr>
          <w:rFonts w:hint="eastAsia" w:ascii="仿宋" w:hAnsi="仿宋" w:eastAsia="仿宋"/>
          <w:color w:val="000000"/>
          <w:sz w:val="32"/>
          <w:highlight w:val="white"/>
          <w:lang w:val="en-US"/>
        </w:rPr>
        <w:t>共有车辆</w:t>
      </w:r>
      <w:r>
        <w:rPr>
          <w:rFonts w:hint="eastAsia" w:ascii="仿宋" w:hAnsi="仿宋" w:eastAsia="仿宋"/>
          <w:color w:val="auto"/>
          <w:kern w:val="0"/>
          <w:sz w:val="32"/>
          <w:highlight w:val="white"/>
          <w:lang w:val="en-US"/>
        </w:rPr>
        <w:t>7</w:t>
      </w:r>
      <w:r>
        <w:rPr>
          <w:rFonts w:hint="eastAsia" w:ascii="仿宋" w:hAnsi="仿宋" w:eastAsia="仿宋"/>
          <w:color w:val="auto"/>
          <w:kern w:val="0"/>
          <w:sz w:val="32"/>
          <w:highlight w:val="white"/>
          <w:lang w:val="en-US" w:eastAsia="zh-CN"/>
        </w:rPr>
        <w:t>5</w:t>
      </w:r>
      <w:r>
        <w:rPr>
          <w:rFonts w:hint="eastAsia" w:ascii="仿宋" w:hAnsi="仿宋" w:eastAsia="仿宋"/>
          <w:color w:val="000000"/>
          <w:sz w:val="32"/>
          <w:highlight w:val="white"/>
          <w:lang w:val="en-US"/>
        </w:rPr>
        <w:t>辆，其中，副部（省）级及以上领导用车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辆、主要领导干部用车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辆、机要通信用车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辆、应急保障用车</w:t>
      </w:r>
      <w:r>
        <w:rPr>
          <w:rFonts w:hint="eastAsia" w:ascii="仿宋" w:hAnsi="仿宋" w:eastAsia="仿宋"/>
          <w:color w:val="auto"/>
          <w:kern w:val="0"/>
          <w:sz w:val="32"/>
          <w:highlight w:val="white"/>
          <w:lang w:val="en-US"/>
        </w:rPr>
        <w:t>7</w:t>
      </w:r>
      <w:r>
        <w:rPr>
          <w:rFonts w:hint="eastAsia" w:ascii="仿宋" w:hAnsi="仿宋" w:eastAsia="仿宋"/>
          <w:color w:val="auto"/>
          <w:kern w:val="0"/>
          <w:sz w:val="32"/>
          <w:highlight w:val="white"/>
          <w:lang w:val="en-US" w:eastAsia="zh-CN"/>
        </w:rPr>
        <w:t>5</w:t>
      </w:r>
      <w:r>
        <w:rPr>
          <w:rFonts w:hint="eastAsia" w:ascii="仿宋" w:hAnsi="仿宋" w:eastAsia="仿宋"/>
          <w:color w:val="000000"/>
          <w:sz w:val="32"/>
          <w:highlight w:val="white"/>
          <w:lang w:val="en-US"/>
        </w:rPr>
        <w:t>辆、执法执勤用车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辆、特种专业技术用车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辆、离退休干部用车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辆、其他用车</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辆；单价50万元以上通用设备</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台（套），单价100万元以上专用设备</w:t>
      </w:r>
      <w:r>
        <w:rPr>
          <w:rFonts w:hint="eastAsia" w:ascii="仿宋" w:hAnsi="仿宋" w:eastAsia="仿宋"/>
          <w:color w:val="auto"/>
          <w:kern w:val="0"/>
          <w:sz w:val="32"/>
          <w:highlight w:val="white"/>
          <w:lang w:val="en-US"/>
        </w:rPr>
        <w:t>0</w:t>
      </w:r>
      <w:r>
        <w:rPr>
          <w:rFonts w:hint="eastAsia" w:ascii="仿宋" w:hAnsi="仿宋" w:eastAsia="仿宋"/>
          <w:color w:val="000000"/>
          <w:sz w:val="32"/>
          <w:highlight w:val="white"/>
          <w:lang w:val="en-US"/>
        </w:rPr>
        <w:t>台（套）。</w:t>
      </w:r>
      <w:r>
        <w:rPr>
          <w:rFonts w:hint="eastAsia" w:ascii="仿宋_GB2312" w:hAnsi="仿宋_GB2312" w:eastAsia="仿宋_GB2312"/>
          <w:color w:val="000000"/>
          <w:sz w:val="32"/>
          <w:highlight w:val="white"/>
          <w:lang w:val="en-US"/>
        </w:rPr>
        <w:t xml:space="preserve"> </w:t>
      </w:r>
    </w:p>
    <w:p>
      <w:pPr>
        <w:spacing w:beforeLines="0" w:afterLines="0" w:line="324" w:lineRule="auto"/>
        <w:ind w:firstLine="594"/>
        <w:rPr>
          <w:rFonts w:hint="eastAsia" w:ascii="仿宋" w:hAnsi="仿宋" w:eastAsia="仿宋"/>
          <w:color w:val="000000"/>
          <w:sz w:val="32"/>
          <w:highlight w:val="white"/>
          <w:lang w:val="en-US"/>
        </w:rPr>
      </w:pPr>
      <w:r>
        <w:rPr>
          <w:rFonts w:hint="eastAsia" w:ascii="楷体" w:hAnsi="楷体" w:eastAsia="楷体"/>
          <w:b/>
          <w:color w:val="000000"/>
          <w:sz w:val="32"/>
          <w:highlight w:val="white"/>
          <w:lang w:val="en-US"/>
        </w:rPr>
        <w:t>（十三）预算绩效情况说明</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1.预算绩效管理工作开展情况。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4" w:lineRule="atLeast"/>
        <w:ind w:left="0" w:right="0" w:firstLine="600"/>
        <w:jc w:val="left"/>
        <w:rPr>
          <w:rFonts w:ascii="微软雅黑" w:hAnsi="微软雅黑" w:eastAsia="微软雅黑" w:cs="微软雅黑"/>
          <w:i w:val="0"/>
          <w:caps w:val="0"/>
          <w:color w:val="333333"/>
          <w:spacing w:val="0"/>
          <w:sz w:val="21"/>
          <w:szCs w:val="21"/>
        </w:rPr>
      </w:pPr>
      <w:r>
        <w:rPr>
          <w:rFonts w:hint="eastAsia" w:ascii="仿宋" w:hAnsi="仿宋" w:eastAsia="仿宋"/>
          <w:color w:val="000000"/>
          <w:sz w:val="32"/>
          <w:highlight w:val="white"/>
          <w:lang w:val="en-US"/>
        </w:rPr>
        <w:t>根据预算绩效管理要求，</w:t>
      </w:r>
      <w:r>
        <w:rPr>
          <w:rFonts w:hint="eastAsia" w:ascii="仿宋" w:hAnsi="仿宋" w:eastAsia="仿宋"/>
          <w:color w:val="000000"/>
          <w:sz w:val="32"/>
          <w:highlight w:val="white"/>
          <w:lang w:val="en-US" w:eastAsia="zh-CN"/>
        </w:rPr>
        <w:t>遂昌县公务用车服务中心</w:t>
      </w:r>
      <w:r>
        <w:rPr>
          <w:rFonts w:hint="eastAsia" w:ascii="仿宋" w:hAnsi="仿宋" w:eastAsia="仿宋"/>
          <w:color w:val="000000"/>
          <w:sz w:val="32"/>
          <w:highlight w:val="white"/>
          <w:lang w:val="en-US"/>
        </w:rPr>
        <w:t>组织对2021年度公务用车平台工作经费开展绩效自评，</w:t>
      </w:r>
      <w:r>
        <w:rPr>
          <w:rFonts w:hint="eastAsia" w:ascii="仿宋_GB2312" w:hAnsi="微软雅黑" w:eastAsia="仿宋_GB2312" w:cs="仿宋_GB2312"/>
          <w:i w:val="0"/>
          <w:caps w:val="0"/>
          <w:color w:val="333333"/>
          <w:spacing w:val="0"/>
          <w:sz w:val="31"/>
          <w:szCs w:val="31"/>
          <w:shd w:val="clear" w:fill="FFFFFF"/>
        </w:rPr>
        <w:t>共涉及资金</w:t>
      </w:r>
      <w:r>
        <w:rPr>
          <w:rFonts w:hint="eastAsia" w:ascii="仿宋_GB2312" w:eastAsia="仿宋_GB2312"/>
          <w:sz w:val="32"/>
          <w:szCs w:val="32"/>
          <w:lang w:val="en-US" w:eastAsia="zh-CN"/>
        </w:rPr>
        <w:t>940</w:t>
      </w:r>
      <w:r>
        <w:rPr>
          <w:rFonts w:hint="eastAsia" w:ascii="仿宋_GB2312" w:hAnsi="微软雅黑" w:eastAsia="仿宋_GB2312" w:cs="仿宋_GB2312"/>
          <w:i w:val="0"/>
          <w:caps w:val="0"/>
          <w:color w:val="333333"/>
          <w:spacing w:val="0"/>
          <w:sz w:val="31"/>
          <w:szCs w:val="31"/>
          <w:shd w:val="clear" w:fill="FFFFFF"/>
        </w:rPr>
        <w:t>万元，占一般公共预算项目支出总额的</w:t>
      </w:r>
      <w:r>
        <w:rPr>
          <w:rFonts w:hint="eastAsia" w:ascii="仿宋_GB2312" w:hAnsi="微软雅黑" w:eastAsia="仿宋_GB2312" w:cs="仿宋_GB2312"/>
          <w:i w:val="0"/>
          <w:caps w:val="0"/>
          <w:color w:val="333333"/>
          <w:spacing w:val="0"/>
          <w:sz w:val="31"/>
          <w:szCs w:val="31"/>
          <w:shd w:val="clear" w:fill="FFFFFF"/>
          <w:lang w:val="en-US" w:eastAsia="zh-CN"/>
        </w:rPr>
        <w:t>58.13</w:t>
      </w:r>
      <w:r>
        <w:rPr>
          <w:rFonts w:hint="eastAsia" w:ascii="仿宋_GB2312" w:hAnsi="微软雅黑" w:eastAsia="仿宋_GB2312" w:cs="仿宋_GB2312"/>
          <w:i w:val="0"/>
          <w:caps w:val="0"/>
          <w:color w:val="333333"/>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4" w:lineRule="atLeast"/>
        <w:ind w:left="0" w:right="0" w:firstLine="600"/>
        <w:jc w:val="left"/>
        <w:rPr>
          <w:rFonts w:hint="eastAsia" w:ascii="微软雅黑" w:hAnsi="微软雅黑" w:eastAsia="微软雅黑" w:cs="微软雅黑"/>
          <w:i w:val="0"/>
          <w:caps w:val="0"/>
          <w:color w:val="333333"/>
          <w:spacing w:val="0"/>
          <w:sz w:val="21"/>
          <w:szCs w:val="21"/>
        </w:rPr>
      </w:pPr>
      <w:r>
        <w:rPr>
          <w:rFonts w:hint="eastAsia" w:ascii="仿宋" w:hAnsi="仿宋" w:eastAsia="仿宋" w:cs="仿宋"/>
          <w:i w:val="0"/>
          <w:caps w:val="0"/>
          <w:color w:val="333333"/>
          <w:spacing w:val="0"/>
          <w:sz w:val="31"/>
          <w:szCs w:val="31"/>
          <w:shd w:val="clear" w:fill="FFFFFF"/>
        </w:rPr>
        <w:t>本年无部门整体支出绩效评价。</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s="仿宋"/>
          <w:i w:val="0"/>
          <w:caps w:val="0"/>
          <w:color w:val="333333"/>
          <w:spacing w:val="0"/>
          <w:sz w:val="31"/>
          <w:szCs w:val="31"/>
          <w:shd w:val="clear" w:fill="FFFFFF"/>
        </w:rPr>
        <w:t>本年无下属部门或单位整体支出绩效评价。</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b/>
          <w:color w:val="000000"/>
          <w:sz w:val="32"/>
          <w:highlight w:val="white"/>
          <w:lang w:val="en-US"/>
        </w:rPr>
        <w:t>2.部门（单位）决算中项目绩效自评结果（本部门（单位）2021年度只有一个预算项目）。</w:t>
      </w:r>
    </w:p>
    <w:p>
      <w:pPr>
        <w:pStyle w:val="2"/>
        <w:spacing w:before="0" w:beforeAutospacing="0" w:after="0" w:afterAutospacing="0" w:line="520" w:lineRule="exact"/>
        <w:ind w:firstLine="640" w:firstLineChars="200"/>
        <w:rPr>
          <w:rFonts w:hint="eastAsia" w:ascii="仿宋" w:hAnsi="仿宋" w:eastAsia="仿宋"/>
          <w:color w:val="000000"/>
          <w:sz w:val="32"/>
          <w:highlight w:val="white"/>
          <w:lang w:val="en-US"/>
        </w:rPr>
      </w:pPr>
      <w:r>
        <w:rPr>
          <w:rFonts w:hint="eastAsia" w:ascii="仿宋" w:hAnsi="Times New Roman" w:eastAsia="仿宋"/>
          <w:sz w:val="32"/>
          <w:highlight w:val="white"/>
        </w:rPr>
        <w:t>遂昌县</w:t>
      </w:r>
      <w:r>
        <w:rPr>
          <w:rFonts w:hint="eastAsia" w:ascii="仿宋" w:hAnsi="Times New Roman" w:eastAsia="仿宋"/>
          <w:sz w:val="32"/>
          <w:highlight w:val="white"/>
          <w:lang w:eastAsia="zh-CN"/>
        </w:rPr>
        <w:t>公务用车服务中心</w:t>
      </w:r>
      <w:r>
        <w:rPr>
          <w:rFonts w:hint="eastAsia" w:ascii="仿宋" w:hAnsi="仿宋" w:eastAsia="仿宋"/>
          <w:color w:val="000000"/>
          <w:sz w:val="32"/>
          <w:highlight w:val="white"/>
          <w:lang w:val="en-US"/>
        </w:rPr>
        <w:t>在202</w:t>
      </w:r>
      <w:r>
        <w:rPr>
          <w:rFonts w:hint="eastAsia" w:ascii="仿宋" w:hAnsi="仿宋" w:eastAsia="仿宋"/>
          <w:color w:val="000000"/>
          <w:sz w:val="32"/>
          <w:highlight w:val="white"/>
          <w:lang w:val="en-US" w:eastAsia="zh-CN"/>
        </w:rPr>
        <w:t>1</w:t>
      </w:r>
      <w:r>
        <w:rPr>
          <w:rFonts w:hint="eastAsia" w:ascii="仿宋" w:hAnsi="仿宋" w:eastAsia="仿宋"/>
          <w:color w:val="000000"/>
          <w:sz w:val="32"/>
          <w:highlight w:val="white"/>
          <w:lang w:val="en-US"/>
        </w:rPr>
        <w:t>年度部门（单位）决算中反映公务用车平台工作经费项目绩效自评结果。</w:t>
      </w:r>
    </w:p>
    <w:p>
      <w:pPr>
        <w:widowControl/>
        <w:shd w:val="clear" w:color="auto" w:fill="FFFFFF"/>
        <w:spacing w:line="600" w:lineRule="exact"/>
        <w:ind w:firstLine="640" w:firstLineChars="200"/>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公务用车平台工作经费项目绩效自评综述：根据年初设定的绩效目标，项目自评得分</w:t>
      </w:r>
      <w:r>
        <w:rPr>
          <w:rFonts w:hint="eastAsia" w:ascii="仿宋" w:hAnsi="仿宋" w:eastAsia="仿宋"/>
          <w:color w:val="000000"/>
          <w:sz w:val="32"/>
          <w:highlight w:val="white"/>
          <w:lang w:val="en-US" w:eastAsia="zh-CN"/>
        </w:rPr>
        <w:t>100</w:t>
      </w:r>
      <w:r>
        <w:rPr>
          <w:rFonts w:hint="eastAsia" w:ascii="仿宋" w:hAnsi="仿宋" w:eastAsia="仿宋"/>
          <w:color w:val="000000"/>
          <w:sz w:val="32"/>
          <w:highlight w:val="white"/>
          <w:lang w:val="en-US"/>
        </w:rPr>
        <w:t>分，自评结论为</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eastAsia="zh-CN"/>
        </w:rPr>
        <w:t>优秀</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。项目全年预算数为</w:t>
      </w:r>
      <w:r>
        <w:rPr>
          <w:rFonts w:hint="eastAsia" w:ascii="仿宋" w:hAnsi="仿宋" w:eastAsia="仿宋"/>
          <w:color w:val="000000"/>
          <w:sz w:val="32"/>
          <w:highlight w:val="white"/>
          <w:lang w:val="en-US" w:eastAsia="zh-CN"/>
        </w:rPr>
        <w:t>940</w:t>
      </w:r>
      <w:r>
        <w:rPr>
          <w:rFonts w:hint="eastAsia" w:ascii="仿宋" w:hAnsi="仿宋" w:eastAsia="仿宋"/>
          <w:color w:val="000000"/>
          <w:sz w:val="32"/>
          <w:highlight w:val="white"/>
          <w:lang w:val="en-US"/>
        </w:rPr>
        <w:t>万元，执行数为</w:t>
      </w:r>
      <w:r>
        <w:rPr>
          <w:rFonts w:hint="eastAsia" w:ascii="仿宋" w:hAnsi="仿宋" w:eastAsia="仿宋"/>
          <w:color w:val="000000"/>
          <w:sz w:val="32"/>
          <w:highlight w:val="white"/>
          <w:lang w:val="en-US" w:eastAsia="zh-CN"/>
        </w:rPr>
        <w:t>938.72</w:t>
      </w:r>
      <w:r>
        <w:rPr>
          <w:rFonts w:hint="eastAsia" w:ascii="仿宋" w:hAnsi="仿宋" w:eastAsia="仿宋"/>
          <w:color w:val="000000"/>
          <w:sz w:val="32"/>
          <w:highlight w:val="white"/>
          <w:lang w:val="en-US"/>
        </w:rPr>
        <w:t>万元，完成预算的</w:t>
      </w:r>
      <w:r>
        <w:rPr>
          <w:rFonts w:hint="eastAsia" w:ascii="仿宋" w:hAnsi="仿宋" w:eastAsia="仿宋"/>
          <w:color w:val="000000"/>
          <w:sz w:val="32"/>
          <w:highlight w:val="white"/>
          <w:lang w:val="en-US" w:eastAsia="zh-CN"/>
        </w:rPr>
        <w:t>99.86</w:t>
      </w:r>
      <w:r>
        <w:rPr>
          <w:rFonts w:hint="eastAsia" w:ascii="仿宋" w:hAnsi="仿宋" w:eastAsia="仿宋"/>
          <w:color w:val="000000"/>
          <w:sz w:val="32"/>
          <w:highlight w:val="white"/>
          <w:lang w:val="en-US"/>
        </w:rPr>
        <w:t>%。项目绩效目标完成情况：1.项目与目前政策相符，项目立项规范、合理，资金到位及时、使用合规、监控有效，工作及财务管理制度健全、执行有效、项目质量可控达到了预定的目标。2.</w:t>
      </w:r>
      <w:r>
        <w:rPr>
          <w:rFonts w:hint="eastAsia" w:ascii="仿宋" w:hAnsi="仿宋" w:eastAsia="仿宋"/>
          <w:color w:val="000000"/>
          <w:sz w:val="32"/>
          <w:highlight w:val="white"/>
          <w:lang w:val="en-US" w:eastAsia="zh-CN"/>
        </w:rPr>
        <w:t>全年累计派车8930单，75辆公务用车的安全行驶总里程175.85万公里，节油6.61万升，疫情好转，出车单数和里程数和去年相比有所上升。</w:t>
      </w:r>
    </w:p>
    <w:tbl>
      <w:tblPr>
        <w:tblStyle w:val="3"/>
        <w:tblpPr w:leftFromText="180" w:rightFromText="180" w:vertAnchor="text" w:horzAnchor="page" w:tblpX="1922" w:tblpY="51"/>
        <w:tblOverlap w:val="never"/>
        <w:tblW w:w="897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64"/>
        <w:gridCol w:w="494"/>
        <w:gridCol w:w="867"/>
        <w:gridCol w:w="120"/>
        <w:gridCol w:w="1123"/>
        <w:gridCol w:w="343"/>
        <w:gridCol w:w="1468"/>
        <w:gridCol w:w="1229"/>
        <w:gridCol w:w="240"/>
        <w:gridCol w:w="554"/>
        <w:gridCol w:w="765"/>
        <w:gridCol w:w="284"/>
        <w:gridCol w:w="10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6" w:hRule="atLeast"/>
          <w:tblCellSpacing w:w="0" w:type="dxa"/>
        </w:trPr>
        <w:tc>
          <w:tcPr>
            <w:tcW w:w="8970" w:type="dxa"/>
            <w:gridSpan w:val="13"/>
            <w:tcBorders>
              <w:top w:val="nil"/>
              <w:left w:val="nil"/>
              <w:bottom w:val="nil"/>
              <w:right w:val="nil"/>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sz w:val="21"/>
                <w:szCs w:val="21"/>
              </w:rPr>
            </w:pPr>
            <w:r>
              <w:rPr>
                <w:rFonts w:ascii="方正小标宋简体" w:hAnsi="方正小标宋简体" w:eastAsia="方正小标宋简体" w:cs="方正小标宋简体"/>
                <w:i w:val="0"/>
                <w:caps w:val="0"/>
                <w:color w:val="333333"/>
                <w:spacing w:val="0"/>
                <w:sz w:val="43"/>
                <w:szCs w:val="43"/>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blCellSpacing w:w="0" w:type="dxa"/>
        </w:trPr>
        <w:tc>
          <w:tcPr>
            <w:tcW w:w="8970" w:type="dxa"/>
            <w:gridSpan w:val="13"/>
            <w:tcBorders>
              <w:top w:val="nil"/>
              <w:left w:val="nil"/>
              <w:bottom w:val="nil"/>
              <w:right w:val="nil"/>
            </w:tcBorders>
            <w:shd w:val="clear" w:color="auto" w:fill="FFFFFF"/>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i w:val="0"/>
                <w:caps w:val="0"/>
                <w:color w:val="333333"/>
                <w:spacing w:val="0"/>
                <w:sz w:val="18"/>
                <w:szCs w:val="18"/>
              </w:rPr>
              <w:t>（20</w:t>
            </w:r>
            <w:r>
              <w:rPr>
                <w:rFonts w:hint="eastAsia" w:ascii="宋体" w:hAnsi="宋体" w:eastAsia="宋体" w:cs="宋体"/>
                <w:i w:val="0"/>
                <w:caps w:val="0"/>
                <w:color w:val="333333"/>
                <w:spacing w:val="0"/>
                <w:sz w:val="18"/>
                <w:szCs w:val="18"/>
                <w:lang w:val="en-US" w:eastAsia="zh-CN"/>
              </w:rPr>
              <w:t>21</w:t>
            </w:r>
            <w:r>
              <w:rPr>
                <w:rFonts w:hint="eastAsia" w:ascii="宋体" w:hAnsi="宋体" w:eastAsia="宋体" w:cs="宋体"/>
                <w:i w:val="0"/>
                <w:caps w:val="0"/>
                <w:color w:val="333333"/>
                <w:spacing w:val="0"/>
                <w:sz w:val="18"/>
                <w:szCs w:val="18"/>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i w:val="0"/>
                <w:caps w:val="0"/>
                <w:color w:val="333333"/>
                <w:spacing w:val="0"/>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958"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ascii="仿宋_GB2312" w:hAnsi="微软雅黑" w:eastAsia="仿宋_GB2312" w:cs="仿宋_GB2312"/>
                <w:i w:val="0"/>
                <w:caps w:val="0"/>
                <w:color w:val="333333"/>
                <w:spacing w:val="0"/>
                <w:sz w:val="24"/>
                <w:szCs w:val="24"/>
              </w:rPr>
              <w:t>项目名称</w:t>
            </w:r>
          </w:p>
        </w:tc>
        <w:tc>
          <w:tcPr>
            <w:tcW w:w="8012" w:type="dxa"/>
            <w:gridSpan w:val="11"/>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1"/>
                <w:szCs w:val="21"/>
              </w:rPr>
            </w:pPr>
            <w:r>
              <w:rPr>
                <w:rFonts w:hint="eastAsia" w:ascii="仿宋_GB2312" w:hAnsi="仿宋_GB2312" w:eastAsia="仿宋_GB2312" w:cs="仿宋_GB2312"/>
                <w:color w:val="auto"/>
                <w:spacing w:val="7"/>
                <w:kern w:val="0"/>
                <w:sz w:val="24"/>
                <w:szCs w:val="24"/>
                <w:u w:val="none"/>
              </w:rPr>
              <w:t>C02公务用车平台工作经费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958" w:type="dxa"/>
            <w:gridSpan w:val="2"/>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主管部门</w:t>
            </w:r>
          </w:p>
        </w:tc>
        <w:tc>
          <w:tcPr>
            <w:tcW w:w="3921"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hint="eastAsia" w:eastAsia="宋体"/>
                <w:sz w:val="21"/>
                <w:szCs w:val="21"/>
                <w:lang w:eastAsia="zh-CN"/>
              </w:rPr>
            </w:pPr>
            <w:r>
              <w:rPr>
                <w:rFonts w:hint="eastAsia" w:ascii="宋体" w:hAnsi="宋体" w:eastAsia="宋体" w:cs="宋体"/>
                <w:i w:val="0"/>
                <w:caps w:val="0"/>
                <w:color w:val="333333"/>
                <w:spacing w:val="0"/>
                <w:sz w:val="21"/>
                <w:szCs w:val="21"/>
              </w:rPr>
              <w:t>遂昌县</w:t>
            </w:r>
            <w:r>
              <w:rPr>
                <w:rFonts w:hint="eastAsia" w:ascii="宋体" w:hAnsi="宋体" w:eastAsia="宋体" w:cs="宋体"/>
                <w:i w:val="0"/>
                <w:caps w:val="0"/>
                <w:color w:val="333333"/>
                <w:spacing w:val="0"/>
                <w:sz w:val="21"/>
                <w:szCs w:val="21"/>
                <w:lang w:eastAsia="zh-CN"/>
              </w:rPr>
              <w:t>机关事务保障中心</w:t>
            </w: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实施单位</w:t>
            </w:r>
          </w:p>
        </w:tc>
        <w:tc>
          <w:tcPr>
            <w:tcW w:w="2622" w:type="dxa"/>
            <w:gridSpan w:val="4"/>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eastAsia="宋体"/>
                <w:sz w:val="21"/>
                <w:szCs w:val="21"/>
                <w:lang w:eastAsia="zh-CN"/>
              </w:rPr>
            </w:pPr>
            <w:r>
              <w:rPr>
                <w:rFonts w:hint="eastAsia" w:ascii="宋体" w:hAnsi="宋体" w:eastAsia="宋体" w:cs="宋体"/>
                <w:i w:val="0"/>
                <w:caps w:val="0"/>
                <w:color w:val="333333"/>
                <w:spacing w:val="0"/>
                <w:sz w:val="21"/>
                <w:szCs w:val="21"/>
              </w:rPr>
              <w:t>遂昌县</w:t>
            </w:r>
            <w:r>
              <w:rPr>
                <w:rFonts w:hint="eastAsia" w:ascii="宋体" w:hAnsi="宋体" w:eastAsia="宋体" w:cs="宋体"/>
                <w:i w:val="0"/>
                <w:caps w:val="0"/>
                <w:color w:val="333333"/>
                <w:spacing w:val="0"/>
                <w:sz w:val="21"/>
                <w:szCs w:val="21"/>
                <w:lang w:eastAsia="zh-CN"/>
              </w:rPr>
              <w:t>公务用车服务中心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blCellSpacing w:w="0" w:type="dxa"/>
        </w:trPr>
        <w:tc>
          <w:tcPr>
            <w:tcW w:w="958" w:type="dxa"/>
            <w:gridSpan w:val="2"/>
            <w:vMerge w:val="restart"/>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项目资金（万元）</w:t>
            </w:r>
          </w:p>
        </w:tc>
        <w:tc>
          <w:tcPr>
            <w:tcW w:w="2453" w:type="dxa"/>
            <w:gridSpan w:val="4"/>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p>
        </w:tc>
        <w:tc>
          <w:tcPr>
            <w:tcW w:w="146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年初预算数</w:t>
            </w: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全年预算数</w:t>
            </w:r>
          </w:p>
        </w:tc>
        <w:tc>
          <w:tcPr>
            <w:tcW w:w="1603"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全年执行数</w:t>
            </w:r>
          </w:p>
        </w:tc>
        <w:tc>
          <w:tcPr>
            <w:tcW w:w="101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958" w:type="dxa"/>
            <w:gridSpan w:val="2"/>
            <w:vMerge w:val="continue"/>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2453" w:type="dxa"/>
            <w:gridSpan w:val="4"/>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仿宋_GB2312" w:hAnsi="微软雅黑" w:eastAsia="仿宋_GB2312" w:cs="仿宋_GB2312"/>
                <w:i w:val="0"/>
                <w:caps w:val="0"/>
                <w:color w:val="333333"/>
                <w:spacing w:val="0"/>
                <w:sz w:val="24"/>
                <w:szCs w:val="24"/>
              </w:rPr>
              <w:t>年度资金总额</w:t>
            </w:r>
          </w:p>
        </w:tc>
        <w:tc>
          <w:tcPr>
            <w:tcW w:w="146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940</w:t>
            </w: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940</w:t>
            </w:r>
          </w:p>
        </w:tc>
        <w:tc>
          <w:tcPr>
            <w:tcW w:w="1603"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938.72</w:t>
            </w:r>
          </w:p>
        </w:tc>
        <w:tc>
          <w:tcPr>
            <w:tcW w:w="101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sz w:val="21"/>
                <w:szCs w:val="21"/>
              </w:rPr>
            </w:pPr>
            <w:r>
              <w:rPr>
                <w:rFonts w:hint="eastAsia" w:ascii="仿宋_GB2312" w:hAnsi="仿宋_GB2312" w:eastAsia="仿宋_GB2312" w:cs="仿宋_GB2312"/>
                <w:spacing w:val="7"/>
                <w:kern w:val="0"/>
                <w:sz w:val="24"/>
                <w:szCs w:val="24"/>
                <w:lang w:val="en-US" w:eastAsia="zh-CN"/>
              </w:rPr>
              <w:t>99.86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blCellSpacing w:w="0" w:type="dxa"/>
        </w:trPr>
        <w:tc>
          <w:tcPr>
            <w:tcW w:w="958" w:type="dxa"/>
            <w:gridSpan w:val="2"/>
            <w:vMerge w:val="continue"/>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2453" w:type="dxa"/>
            <w:gridSpan w:val="4"/>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其中：当年财政拨款</w:t>
            </w:r>
          </w:p>
        </w:tc>
        <w:tc>
          <w:tcPr>
            <w:tcW w:w="146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940</w:t>
            </w: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940</w:t>
            </w:r>
          </w:p>
        </w:tc>
        <w:tc>
          <w:tcPr>
            <w:tcW w:w="1603"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938.72</w:t>
            </w:r>
          </w:p>
        </w:tc>
        <w:tc>
          <w:tcPr>
            <w:tcW w:w="101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240" w:lineRule="atLeast"/>
              <w:jc w:val="both"/>
              <w:rPr>
                <w:sz w:val="21"/>
                <w:szCs w:val="21"/>
              </w:rPr>
            </w:pPr>
            <w:r>
              <w:rPr>
                <w:rFonts w:hint="eastAsia" w:ascii="仿宋_GB2312" w:hAnsi="仿宋_GB2312" w:eastAsia="仿宋_GB2312" w:cs="仿宋_GB2312"/>
                <w:spacing w:val="7"/>
                <w:kern w:val="0"/>
                <w:sz w:val="24"/>
                <w:szCs w:val="24"/>
                <w:lang w:val="en-US" w:eastAsia="zh-CN"/>
              </w:rPr>
              <w:t>99.86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tblCellSpacing w:w="0" w:type="dxa"/>
        </w:trPr>
        <w:tc>
          <w:tcPr>
            <w:tcW w:w="958" w:type="dxa"/>
            <w:gridSpan w:val="2"/>
            <w:vMerge w:val="continue"/>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2453" w:type="dxa"/>
            <w:gridSpan w:val="4"/>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r>
              <w:rPr>
                <w:rFonts w:hint="eastAsia" w:ascii="仿宋_GB2312" w:hAnsi="微软雅黑" w:eastAsia="仿宋_GB2312" w:cs="仿宋_GB2312"/>
                <w:i w:val="0"/>
                <w:caps w:val="0"/>
                <w:color w:val="333333"/>
                <w:spacing w:val="0"/>
                <w:sz w:val="24"/>
                <w:szCs w:val="24"/>
              </w:rPr>
              <w:t>      上年结转资金</w:t>
            </w:r>
          </w:p>
        </w:tc>
        <w:tc>
          <w:tcPr>
            <w:tcW w:w="146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603"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01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tblCellSpacing w:w="0" w:type="dxa"/>
        </w:trPr>
        <w:tc>
          <w:tcPr>
            <w:tcW w:w="958" w:type="dxa"/>
            <w:gridSpan w:val="2"/>
            <w:vMerge w:val="continue"/>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2453" w:type="dxa"/>
            <w:gridSpan w:val="4"/>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r>
              <w:rPr>
                <w:rFonts w:hint="eastAsia" w:ascii="仿宋_GB2312" w:hAnsi="微软雅黑" w:eastAsia="仿宋_GB2312" w:cs="仿宋_GB2312"/>
                <w:i w:val="0"/>
                <w:caps w:val="0"/>
                <w:color w:val="333333"/>
                <w:spacing w:val="0"/>
                <w:sz w:val="24"/>
                <w:szCs w:val="24"/>
              </w:rPr>
              <w:t>  其他资金</w:t>
            </w:r>
          </w:p>
        </w:tc>
        <w:tc>
          <w:tcPr>
            <w:tcW w:w="1468"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469"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603"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c>
          <w:tcPr>
            <w:tcW w:w="1019"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仿宋_GB2312" w:hAnsi="微软雅黑" w:eastAsia="仿宋_GB2312" w:cs="仿宋_GB2312"/>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CellSpacing w:w="0" w:type="dxa"/>
        </w:trPr>
        <w:tc>
          <w:tcPr>
            <w:tcW w:w="958" w:type="dxa"/>
            <w:gridSpan w:val="2"/>
            <w:vMerge w:val="restart"/>
            <w:tcBorders>
              <w:top w:val="nil"/>
              <w:left w:val="single" w:color="auto" w:sz="6" w:space="0"/>
              <w:bottom w:val="nil"/>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年度总体目标</w:t>
            </w:r>
          </w:p>
        </w:tc>
        <w:tc>
          <w:tcPr>
            <w:tcW w:w="3921"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预期目标</w:t>
            </w:r>
          </w:p>
        </w:tc>
        <w:tc>
          <w:tcPr>
            <w:tcW w:w="4091" w:type="dxa"/>
            <w:gridSpan w:val="6"/>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blCellSpacing w:w="0" w:type="dxa"/>
        </w:trPr>
        <w:tc>
          <w:tcPr>
            <w:tcW w:w="958" w:type="dxa"/>
            <w:gridSpan w:val="2"/>
            <w:vMerge w:val="continue"/>
            <w:tcBorders>
              <w:top w:val="nil"/>
              <w:left w:val="single" w:color="auto" w:sz="6" w:space="0"/>
              <w:bottom w:val="nil"/>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caps w:val="0"/>
                <w:color w:val="333333"/>
                <w:spacing w:val="0"/>
                <w:sz w:val="24"/>
                <w:szCs w:val="24"/>
              </w:rPr>
            </w:pPr>
          </w:p>
        </w:tc>
        <w:tc>
          <w:tcPr>
            <w:tcW w:w="3921"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1"/>
                <w:szCs w:val="21"/>
              </w:rPr>
            </w:pPr>
            <w:r>
              <w:rPr>
                <w:rFonts w:hint="eastAsia" w:ascii="宋体" w:hAnsi="宋体" w:eastAsia="宋体" w:cs="宋体"/>
                <w:i w:val="0"/>
                <w:caps w:val="0"/>
                <w:color w:val="333333"/>
                <w:spacing w:val="0"/>
                <w:sz w:val="21"/>
                <w:szCs w:val="21"/>
              </w:rPr>
              <w:t> </w:t>
            </w:r>
            <w:r>
              <w:rPr>
                <w:rFonts w:hint="eastAsia" w:ascii="宋体" w:hAnsi="宋体" w:eastAsia="宋体" w:cs="宋体"/>
                <w:i w:val="0"/>
                <w:caps w:val="0"/>
                <w:color w:val="333333"/>
                <w:spacing w:val="0"/>
                <w:sz w:val="21"/>
                <w:szCs w:val="21"/>
                <w:lang w:eastAsia="zh-CN"/>
              </w:rPr>
              <w:t>预期为遂昌县机关公务活动提供了经济、优质、快捷、安全的车辆保障服务。</w:t>
            </w:r>
          </w:p>
        </w:tc>
        <w:tc>
          <w:tcPr>
            <w:tcW w:w="4091" w:type="dxa"/>
            <w:gridSpan w:val="6"/>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spacing w:line="400" w:lineRule="exact"/>
              <w:jc w:val="left"/>
              <w:rPr>
                <w:rFonts w:hint="eastAsia" w:ascii="宋体" w:hAnsi="宋体" w:eastAsia="宋体" w:cs="宋体"/>
                <w:i w:val="0"/>
                <w:caps w:val="0"/>
                <w:color w:val="333333"/>
                <w:spacing w:val="0"/>
                <w:kern w:val="0"/>
                <w:sz w:val="21"/>
                <w:szCs w:val="21"/>
                <w:lang w:val="en-US" w:eastAsia="zh-CN" w:bidi="ar"/>
              </w:rPr>
            </w:pPr>
            <w:r>
              <w:rPr>
                <w:rFonts w:hint="eastAsia" w:ascii="宋体" w:hAnsi="宋体" w:eastAsia="宋体" w:cs="宋体"/>
                <w:i w:val="0"/>
                <w:caps w:val="0"/>
                <w:color w:val="333333"/>
                <w:spacing w:val="0"/>
                <w:kern w:val="0"/>
                <w:sz w:val="21"/>
                <w:szCs w:val="21"/>
                <w:lang w:val="en-US" w:eastAsia="zh-CN" w:bidi="ar"/>
              </w:rPr>
              <w:t>实际根据日常掌握的用车情况，结合车少事多的实际，基于“相对固定，余缺调剂”的思路安排用车，最大限度地发挥了车辆作用。服务中心全体人员随时待命，反应迅速，满足了用车单位和用车人的工作需要，圆满完成了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blCellSpacing w:w="0" w:type="dxa"/>
        </w:trPr>
        <w:tc>
          <w:tcPr>
            <w:tcW w:w="464" w:type="dxa"/>
            <w:vMerge w:val="restart"/>
            <w:tcBorders>
              <w:top w:val="nil"/>
              <w:left w:val="single" w:color="auto" w:sz="6" w:space="0"/>
              <w:bottom w:val="nil"/>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绩效指标</w:t>
            </w:r>
          </w:p>
        </w:tc>
        <w:tc>
          <w:tcPr>
            <w:tcW w:w="494"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1"/>
                <w:szCs w:val="21"/>
              </w:rPr>
              <w:t>一级指标</w:t>
            </w:r>
          </w:p>
        </w:tc>
        <w:tc>
          <w:tcPr>
            <w:tcW w:w="987"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二级指标</w:t>
            </w:r>
          </w:p>
        </w:tc>
        <w:tc>
          <w:tcPr>
            <w:tcW w:w="1123" w:type="dxa"/>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三级指标</w:t>
            </w:r>
          </w:p>
        </w:tc>
        <w:tc>
          <w:tcPr>
            <w:tcW w:w="1811" w:type="dxa"/>
            <w:gridSpan w:val="2"/>
            <w:tcBorders>
              <w:top w:val="single" w:color="auto" w:sz="6" w:space="0"/>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指标值</w:t>
            </w:r>
          </w:p>
        </w:tc>
        <w:tc>
          <w:tcPr>
            <w:tcW w:w="1229"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实际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完成值</w:t>
            </w:r>
          </w:p>
        </w:tc>
        <w:tc>
          <w:tcPr>
            <w:tcW w:w="794"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权重</w:t>
            </w:r>
          </w:p>
        </w:tc>
        <w:tc>
          <w:tcPr>
            <w:tcW w:w="76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得分</w:t>
            </w:r>
          </w:p>
        </w:tc>
        <w:tc>
          <w:tcPr>
            <w:tcW w:w="1303"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464" w:type="dxa"/>
            <w:vMerge w:val="continue"/>
            <w:tcBorders>
              <w:top w:val="nil"/>
              <w:left w:val="single" w:color="auto" w:sz="6" w:space="0"/>
              <w:bottom w:val="nil"/>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494" w:type="dxa"/>
            <w:vMerge w:val="restart"/>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1"/>
                <w:szCs w:val="21"/>
              </w:rPr>
              <w:t>产出指标</w:t>
            </w:r>
          </w:p>
        </w:tc>
        <w:tc>
          <w:tcPr>
            <w:tcW w:w="987"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top"/>
          </w:tcPr>
          <w:p>
            <w:pPr>
              <w:spacing w:beforeLines="0" w:afterLines="0"/>
              <w:jc w:val="center"/>
              <w:rPr>
                <w:sz w:val="21"/>
                <w:szCs w:val="21"/>
              </w:rPr>
            </w:pPr>
            <w:r>
              <w:rPr>
                <w:rFonts w:hint="default" w:ascii="·ÂËÎ" w:hAnsi="·ÂËÎ" w:eastAsia="·ÂËÎ"/>
                <w:color w:val="000000"/>
                <w:sz w:val="18"/>
              </w:rPr>
              <w:t>数量指标</w:t>
            </w:r>
          </w:p>
        </w:tc>
        <w:tc>
          <w:tcPr>
            <w:tcW w:w="1123"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spacing w:line="240" w:lineRule="atLeast"/>
              <w:rPr>
                <w:sz w:val="21"/>
                <w:szCs w:val="21"/>
              </w:rPr>
            </w:pPr>
            <w:r>
              <w:rPr>
                <w:rFonts w:hint="eastAsia" w:ascii="仿宋_GB2312" w:hAnsi="仿宋_GB2312" w:eastAsia="仿宋_GB2312" w:cs="仿宋_GB2312"/>
                <w:spacing w:val="7"/>
                <w:kern w:val="0"/>
                <w:sz w:val="24"/>
                <w:szCs w:val="24"/>
              </w:rPr>
              <w:t>公务出车行驶里程数</w:t>
            </w:r>
          </w:p>
        </w:tc>
        <w:tc>
          <w:tcPr>
            <w:tcW w:w="1811"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jc w:val="center"/>
              <w:textAlignment w:val="center"/>
              <w:rPr>
                <w:sz w:val="21"/>
                <w:szCs w:val="21"/>
              </w:rPr>
            </w:pPr>
            <w:r>
              <w:rPr>
                <w:rFonts w:hint="eastAsia" w:ascii="仿宋" w:hAnsi="仿宋" w:eastAsia="仿宋" w:cs="仿宋"/>
                <w:i w:val="0"/>
                <w:color w:val="000000"/>
                <w:kern w:val="0"/>
                <w:sz w:val="18"/>
                <w:szCs w:val="18"/>
                <w:u w:val="none"/>
                <w:lang w:val="en-US" w:eastAsia="zh-CN" w:bidi="ar"/>
              </w:rPr>
              <w:t>165万公里</w:t>
            </w:r>
          </w:p>
        </w:tc>
        <w:tc>
          <w:tcPr>
            <w:tcW w:w="1229"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175.84万公里</w:t>
            </w:r>
          </w:p>
        </w:tc>
        <w:tc>
          <w:tcPr>
            <w:tcW w:w="794"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sz w:val="21"/>
                <w:szCs w:val="21"/>
              </w:rPr>
            </w:pPr>
            <w:r>
              <w:rPr>
                <w:rFonts w:hint="eastAsia" w:ascii="仿宋_GB2312" w:hAnsi="仿宋_GB2312" w:eastAsia="仿宋_GB2312" w:cs="仿宋_GB2312"/>
                <w:spacing w:val="7"/>
                <w:kern w:val="0"/>
                <w:sz w:val="24"/>
                <w:szCs w:val="24"/>
              </w:rPr>
              <w:t>25.00</w:t>
            </w:r>
          </w:p>
        </w:tc>
        <w:tc>
          <w:tcPr>
            <w:tcW w:w="76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25</w:t>
            </w:r>
          </w:p>
        </w:tc>
        <w:tc>
          <w:tcPr>
            <w:tcW w:w="130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464" w:type="dxa"/>
            <w:vMerge w:val="continue"/>
            <w:tcBorders>
              <w:top w:val="nil"/>
              <w:left w:val="single" w:color="auto" w:sz="6" w:space="0"/>
              <w:bottom w:val="nil"/>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494" w:type="dxa"/>
            <w:vMerge w:val="continue"/>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987"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top"/>
          </w:tcPr>
          <w:p>
            <w:pPr>
              <w:spacing w:beforeLines="0" w:afterLines="0"/>
              <w:jc w:val="center"/>
              <w:rPr>
                <w:sz w:val="21"/>
                <w:szCs w:val="21"/>
              </w:rPr>
            </w:pPr>
            <w:r>
              <w:rPr>
                <w:rFonts w:hint="default" w:ascii="·ÂËÎ" w:hAnsi="·ÂËÎ" w:eastAsia="·ÂËÎ"/>
                <w:color w:val="000000"/>
                <w:sz w:val="18"/>
              </w:rPr>
              <w:t>数量指标</w:t>
            </w:r>
          </w:p>
        </w:tc>
        <w:tc>
          <w:tcPr>
            <w:tcW w:w="1123"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spacing w:line="240" w:lineRule="atLeast"/>
              <w:rPr>
                <w:sz w:val="21"/>
                <w:szCs w:val="21"/>
              </w:rPr>
            </w:pPr>
            <w:r>
              <w:rPr>
                <w:rFonts w:hint="eastAsia" w:ascii="仿宋_GB2312" w:hAnsi="仿宋_GB2312" w:eastAsia="仿宋_GB2312" w:cs="仿宋_GB2312"/>
                <w:spacing w:val="7"/>
                <w:kern w:val="0"/>
                <w:sz w:val="24"/>
                <w:szCs w:val="24"/>
              </w:rPr>
              <w:t>保障服务人数</w:t>
            </w:r>
          </w:p>
        </w:tc>
        <w:tc>
          <w:tcPr>
            <w:tcW w:w="1811"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keepNext w:val="0"/>
              <w:keepLines w:val="0"/>
              <w:widowControl/>
              <w:suppressLineNumbers w:val="0"/>
              <w:jc w:val="center"/>
              <w:textAlignment w:val="center"/>
              <w:rPr>
                <w:sz w:val="21"/>
                <w:szCs w:val="21"/>
              </w:rPr>
            </w:pPr>
            <w:r>
              <w:rPr>
                <w:rFonts w:hint="eastAsia" w:ascii="仿宋" w:hAnsi="仿宋" w:eastAsia="仿宋" w:cs="仿宋"/>
                <w:i w:val="0"/>
                <w:color w:val="000000"/>
                <w:kern w:val="0"/>
                <w:sz w:val="18"/>
                <w:szCs w:val="18"/>
                <w:u w:val="none"/>
                <w:lang w:val="en-US" w:eastAsia="zh-CN" w:bidi="ar"/>
              </w:rPr>
              <w:t>2.4万人</w:t>
            </w:r>
          </w:p>
        </w:tc>
        <w:tc>
          <w:tcPr>
            <w:tcW w:w="1229"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2.6万人</w:t>
            </w:r>
          </w:p>
        </w:tc>
        <w:tc>
          <w:tcPr>
            <w:tcW w:w="794"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sz w:val="21"/>
                <w:szCs w:val="21"/>
              </w:rPr>
            </w:pPr>
            <w:r>
              <w:rPr>
                <w:rFonts w:hint="eastAsia" w:ascii="仿宋_GB2312" w:hAnsi="仿宋_GB2312" w:eastAsia="仿宋_GB2312" w:cs="仿宋_GB2312"/>
                <w:spacing w:val="7"/>
                <w:kern w:val="0"/>
                <w:sz w:val="24"/>
                <w:szCs w:val="24"/>
              </w:rPr>
              <w:t>25.00</w:t>
            </w:r>
          </w:p>
        </w:tc>
        <w:tc>
          <w:tcPr>
            <w:tcW w:w="76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25</w:t>
            </w:r>
          </w:p>
        </w:tc>
        <w:tc>
          <w:tcPr>
            <w:tcW w:w="130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38" w:hRule="atLeast"/>
          <w:tblCellSpacing w:w="0" w:type="dxa"/>
        </w:trPr>
        <w:tc>
          <w:tcPr>
            <w:tcW w:w="464" w:type="dxa"/>
            <w:vMerge w:val="continue"/>
            <w:tcBorders>
              <w:top w:val="nil"/>
              <w:left w:val="single" w:color="auto" w:sz="6" w:space="0"/>
              <w:bottom w:val="nil"/>
              <w:right w:val="single" w:color="auto" w:sz="6" w:space="0"/>
            </w:tcBorders>
            <w:shd w:val="clear" w:color="auto" w:fill="FFFFFF"/>
            <w:tcMar>
              <w:top w:w="0" w:type="dxa"/>
              <w:left w:w="0" w:type="dxa"/>
              <w:bottom w:w="0" w:type="dxa"/>
              <w:right w:w="0" w:type="dxa"/>
            </w:tcMar>
            <w:vAlign w:val="center"/>
          </w:tcPr>
          <w:p>
            <w:pPr>
              <w:jc w:val="left"/>
              <w:rPr>
                <w:rFonts w:hint="eastAsia" w:ascii="微软雅黑" w:hAnsi="微软雅黑" w:eastAsia="微软雅黑" w:cs="微软雅黑"/>
                <w:i w:val="0"/>
                <w:caps w:val="0"/>
                <w:color w:val="333333"/>
                <w:spacing w:val="0"/>
                <w:sz w:val="24"/>
                <w:szCs w:val="24"/>
              </w:rPr>
            </w:pPr>
          </w:p>
        </w:tc>
        <w:tc>
          <w:tcPr>
            <w:tcW w:w="494"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1"/>
                <w:szCs w:val="21"/>
              </w:rPr>
              <w:t>满意度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1"/>
                <w:szCs w:val="21"/>
              </w:rPr>
              <w:t>指标</w:t>
            </w:r>
          </w:p>
        </w:tc>
        <w:tc>
          <w:tcPr>
            <w:tcW w:w="987"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1"/>
                <w:szCs w:val="21"/>
              </w:rPr>
              <w:t>服务对象满意度指标</w:t>
            </w:r>
          </w:p>
        </w:tc>
        <w:tc>
          <w:tcPr>
            <w:tcW w:w="1123"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top"/>
          </w:tcPr>
          <w:p>
            <w:pPr>
              <w:spacing w:beforeLines="0" w:afterLines="0"/>
              <w:jc w:val="center"/>
              <w:rPr>
                <w:sz w:val="21"/>
                <w:szCs w:val="21"/>
              </w:rPr>
            </w:pPr>
            <w:r>
              <w:rPr>
                <w:rFonts w:hint="default" w:ascii="·ÂËÎ" w:hAnsi="·ÂËÎ" w:eastAsia="·ÂËÎ"/>
                <w:color w:val="000000"/>
                <w:sz w:val="18"/>
              </w:rPr>
              <w:t>满意度</w:t>
            </w:r>
          </w:p>
        </w:tc>
        <w:tc>
          <w:tcPr>
            <w:tcW w:w="1811"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sz w:val="21"/>
                <w:szCs w:val="21"/>
              </w:rPr>
            </w:pPr>
            <w:r>
              <w:rPr>
                <w:rFonts w:hint="eastAsia" w:ascii="仿宋_GB2312" w:hAnsi="仿宋_GB2312" w:eastAsia="仿宋_GB2312" w:cs="仿宋_GB2312"/>
                <w:spacing w:val="7"/>
                <w:kern w:val="0"/>
                <w:sz w:val="24"/>
                <w:szCs w:val="24"/>
              </w:rPr>
              <w:t>&gt;98%</w:t>
            </w:r>
          </w:p>
        </w:tc>
        <w:tc>
          <w:tcPr>
            <w:tcW w:w="1229" w:type="dxa"/>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rPr>
              <w:t>&gt;98%</w:t>
            </w:r>
          </w:p>
        </w:tc>
        <w:tc>
          <w:tcPr>
            <w:tcW w:w="794" w:type="dxa"/>
            <w:gridSpan w:val="2"/>
            <w:tcBorders>
              <w:top w:val="nil"/>
              <w:left w:val="nil"/>
              <w:bottom w:val="single" w:color="auto" w:sz="6" w:space="0"/>
              <w:right w:val="single" w:color="auto" w:sz="6" w:space="0"/>
            </w:tcBorders>
            <w:shd w:val="clear" w:color="auto" w:fill="FFFFFF"/>
            <w:tcMar>
              <w:top w:w="0" w:type="dxa"/>
              <w:left w:w="0" w:type="dxa"/>
              <w:bottom w:w="0" w:type="dxa"/>
              <w:right w:w="0"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rPr>
              <w:t>50.00</w:t>
            </w:r>
          </w:p>
        </w:tc>
        <w:tc>
          <w:tcPr>
            <w:tcW w:w="76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rPr>
                <w:rFonts w:hint="eastAsia" w:eastAsiaTheme="minorEastAsia"/>
                <w:sz w:val="21"/>
                <w:szCs w:val="21"/>
                <w:lang w:val="en-US" w:eastAsia="zh-CN"/>
              </w:rPr>
            </w:pPr>
            <w:r>
              <w:rPr>
                <w:rFonts w:hint="eastAsia" w:ascii="仿宋_GB2312" w:hAnsi="仿宋_GB2312" w:eastAsia="仿宋_GB2312" w:cs="仿宋_GB2312"/>
                <w:spacing w:val="7"/>
                <w:kern w:val="0"/>
                <w:sz w:val="24"/>
                <w:szCs w:val="24"/>
                <w:lang w:val="en-US" w:eastAsia="zh-CN"/>
              </w:rPr>
              <w:t>50</w:t>
            </w:r>
          </w:p>
        </w:tc>
        <w:tc>
          <w:tcPr>
            <w:tcW w:w="130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6108" w:type="dxa"/>
            <w:gridSpan w:val="8"/>
            <w:tcBorders>
              <w:top w:val="single" w:color="auto" w:sz="6" w:space="0"/>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总分</w:t>
            </w:r>
          </w:p>
        </w:tc>
        <w:tc>
          <w:tcPr>
            <w:tcW w:w="794"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100</w:t>
            </w:r>
          </w:p>
        </w:tc>
        <w:tc>
          <w:tcPr>
            <w:tcW w:w="76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eastAsia" w:ascii="宋体" w:hAnsi="宋体" w:eastAsia="宋体" w:cs="宋体"/>
                <w:i w:val="0"/>
                <w:caps w:val="0"/>
                <w:color w:val="333333"/>
                <w:spacing w:val="0"/>
                <w:sz w:val="24"/>
                <w:szCs w:val="24"/>
              </w:rPr>
              <w:t>100</w:t>
            </w:r>
          </w:p>
        </w:tc>
        <w:tc>
          <w:tcPr>
            <w:tcW w:w="1303"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blCellSpacing w:w="0" w:type="dxa"/>
        </w:trPr>
        <w:tc>
          <w:tcPr>
            <w:tcW w:w="1825"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自评结论</w:t>
            </w:r>
          </w:p>
        </w:tc>
        <w:tc>
          <w:tcPr>
            <w:tcW w:w="4283"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仿宋_GB2312" w:hAnsi="微软雅黑" w:eastAsia="仿宋_GB2312" w:cs="仿宋_GB2312"/>
                <w:i w:val="0"/>
                <w:caps w:val="0"/>
                <w:color w:val="333333"/>
                <w:spacing w:val="0"/>
                <w:sz w:val="24"/>
                <w:szCs w:val="24"/>
              </w:rPr>
              <w:t>优</w:t>
            </w:r>
            <w:r>
              <w:rPr>
                <w:rFonts w:ascii="Wingdings 2" w:hAnsi="Wingdings 2" w:eastAsia="Wingdings 2" w:cs="Wingdings 2"/>
                <w:i w:val="0"/>
                <w:caps w:val="0"/>
                <w:color w:val="333333"/>
                <w:spacing w:val="0"/>
                <w:sz w:val="24"/>
                <w:szCs w:val="24"/>
              </w:rPr>
              <w:t>R</w:t>
            </w:r>
            <w:r>
              <w:rPr>
                <w:rFonts w:hint="eastAsia" w:ascii="仿宋_GB2312" w:hAnsi="微软雅黑" w:eastAsia="仿宋_GB2312" w:cs="仿宋_GB2312"/>
                <w:i w:val="0"/>
                <w:caps w:val="0"/>
                <w:color w:val="333333"/>
                <w:spacing w:val="0"/>
                <w:sz w:val="24"/>
                <w:szCs w:val="24"/>
              </w:rPr>
              <w:t>      良□      </w:t>
            </w:r>
            <w:r>
              <w:rPr>
                <w:rFonts w:hint="eastAsia" w:ascii="宋体" w:hAnsi="宋体" w:eastAsia="宋体" w:cs="宋体"/>
                <w:i w:val="0"/>
                <w:caps w:val="0"/>
                <w:color w:val="333333"/>
                <w:spacing w:val="0"/>
                <w:sz w:val="24"/>
                <w:szCs w:val="24"/>
              </w:rPr>
              <w:t>中</w:t>
            </w:r>
            <w:r>
              <w:rPr>
                <w:rFonts w:hint="eastAsia" w:ascii="仿宋_GB2312" w:hAnsi="微软雅黑" w:eastAsia="仿宋_GB2312" w:cs="仿宋_GB2312"/>
                <w:i w:val="0"/>
                <w:caps w:val="0"/>
                <w:color w:val="333333"/>
                <w:spacing w:val="0"/>
                <w:sz w:val="24"/>
                <w:szCs w:val="24"/>
              </w:rPr>
              <w:t>□    </w:t>
            </w:r>
            <w:r>
              <w:rPr>
                <w:rFonts w:hint="eastAsia" w:ascii="宋体" w:hAnsi="宋体" w:eastAsia="宋体" w:cs="宋体"/>
                <w:i w:val="0"/>
                <w:caps w:val="0"/>
                <w:color w:val="333333"/>
                <w:spacing w:val="0"/>
                <w:sz w:val="24"/>
                <w:szCs w:val="24"/>
              </w:rPr>
              <w:t>差</w:t>
            </w:r>
            <w:r>
              <w:rPr>
                <w:rFonts w:hint="eastAsia" w:ascii="仿宋_GB2312" w:hAnsi="微软雅黑" w:eastAsia="仿宋_GB2312" w:cs="仿宋_GB2312"/>
                <w:i w:val="0"/>
                <w:caps w:val="0"/>
                <w:color w:val="333333"/>
                <w:spacing w:val="0"/>
                <w:sz w:val="24"/>
                <w:szCs w:val="24"/>
              </w:rPr>
              <w:t>□</w:t>
            </w:r>
          </w:p>
        </w:tc>
        <w:tc>
          <w:tcPr>
            <w:tcW w:w="2862"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1"/>
                <w:szCs w:val="21"/>
              </w:rPr>
            </w:pPr>
            <w:r>
              <w:rPr>
                <w:rFonts w:hint="eastAsia" w:ascii="仿宋_GB2312" w:hAnsi="微软雅黑" w:eastAsia="仿宋_GB2312" w:cs="仿宋_GB2312"/>
                <w:i w:val="0"/>
                <w:caps w:val="0"/>
                <w:color w:val="333333"/>
                <w:spacing w:val="0"/>
                <w:sz w:val="18"/>
                <w:szCs w:val="18"/>
              </w:rPr>
              <w:t>总分高于90</w:t>
            </w:r>
            <w:r>
              <w:rPr>
                <w:rFonts w:hint="eastAsia" w:ascii="宋体" w:hAnsi="宋体" w:eastAsia="宋体" w:cs="宋体"/>
                <w:i w:val="0"/>
                <w:caps w:val="0"/>
                <w:color w:val="333333"/>
                <w:spacing w:val="0"/>
                <w:sz w:val="18"/>
                <w:szCs w:val="18"/>
              </w:rPr>
              <w:t>分（含）的结论为</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优</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w:t>
            </w:r>
            <w:r>
              <w:rPr>
                <w:rFonts w:hint="eastAsia" w:ascii="仿宋_GB2312" w:hAnsi="微软雅黑" w:eastAsia="仿宋_GB2312" w:cs="仿宋_GB2312"/>
                <w:i w:val="0"/>
                <w:caps w:val="0"/>
                <w:color w:val="333333"/>
                <w:spacing w:val="0"/>
                <w:sz w:val="18"/>
                <w:szCs w:val="18"/>
              </w:rPr>
              <w:t>90</w:t>
            </w:r>
            <w:r>
              <w:rPr>
                <w:rFonts w:hint="eastAsia" w:ascii="宋体" w:hAnsi="宋体" w:eastAsia="宋体" w:cs="宋体"/>
                <w:i w:val="0"/>
                <w:caps w:val="0"/>
                <w:color w:val="333333"/>
                <w:spacing w:val="0"/>
                <w:sz w:val="18"/>
                <w:szCs w:val="18"/>
              </w:rPr>
              <w:t>～</w:t>
            </w:r>
            <w:r>
              <w:rPr>
                <w:rFonts w:hint="eastAsia" w:ascii="仿宋_GB2312" w:hAnsi="微软雅黑" w:eastAsia="仿宋_GB2312" w:cs="仿宋_GB2312"/>
                <w:i w:val="0"/>
                <w:caps w:val="0"/>
                <w:color w:val="333333"/>
                <w:spacing w:val="0"/>
                <w:sz w:val="18"/>
                <w:szCs w:val="18"/>
              </w:rPr>
              <w:t>80</w:t>
            </w:r>
            <w:r>
              <w:rPr>
                <w:rFonts w:hint="eastAsia" w:ascii="宋体" w:hAnsi="宋体" w:eastAsia="宋体" w:cs="宋体"/>
                <w:i w:val="0"/>
                <w:caps w:val="0"/>
                <w:color w:val="333333"/>
                <w:spacing w:val="0"/>
                <w:sz w:val="18"/>
                <w:szCs w:val="18"/>
              </w:rPr>
              <w:t>分（含）为</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良</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w:t>
            </w:r>
            <w:r>
              <w:rPr>
                <w:rFonts w:hint="eastAsia" w:ascii="仿宋_GB2312" w:hAnsi="微软雅黑" w:eastAsia="仿宋_GB2312" w:cs="仿宋_GB2312"/>
                <w:i w:val="0"/>
                <w:caps w:val="0"/>
                <w:color w:val="333333"/>
                <w:spacing w:val="0"/>
                <w:sz w:val="18"/>
                <w:szCs w:val="18"/>
              </w:rPr>
              <w:t>80</w:t>
            </w:r>
            <w:r>
              <w:rPr>
                <w:rFonts w:hint="eastAsia" w:ascii="宋体" w:hAnsi="宋体" w:eastAsia="宋体" w:cs="宋体"/>
                <w:i w:val="0"/>
                <w:caps w:val="0"/>
                <w:color w:val="333333"/>
                <w:spacing w:val="0"/>
                <w:sz w:val="18"/>
                <w:szCs w:val="18"/>
              </w:rPr>
              <w:t>～</w:t>
            </w:r>
            <w:r>
              <w:rPr>
                <w:rFonts w:hint="eastAsia" w:ascii="仿宋_GB2312" w:hAnsi="微软雅黑" w:eastAsia="仿宋_GB2312" w:cs="仿宋_GB2312"/>
                <w:i w:val="0"/>
                <w:caps w:val="0"/>
                <w:color w:val="333333"/>
                <w:spacing w:val="0"/>
                <w:sz w:val="18"/>
                <w:szCs w:val="18"/>
              </w:rPr>
              <w:t>60</w:t>
            </w:r>
            <w:r>
              <w:rPr>
                <w:rFonts w:hint="eastAsia" w:ascii="宋体" w:hAnsi="宋体" w:eastAsia="宋体" w:cs="宋体"/>
                <w:i w:val="0"/>
                <w:caps w:val="0"/>
                <w:color w:val="333333"/>
                <w:spacing w:val="0"/>
                <w:sz w:val="18"/>
                <w:szCs w:val="18"/>
              </w:rPr>
              <w:t>分（含）为</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中</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，低于</w:t>
            </w:r>
            <w:r>
              <w:rPr>
                <w:rFonts w:hint="eastAsia" w:ascii="仿宋_GB2312" w:hAnsi="微软雅黑" w:eastAsia="仿宋_GB2312" w:cs="仿宋_GB2312"/>
                <w:i w:val="0"/>
                <w:caps w:val="0"/>
                <w:color w:val="333333"/>
                <w:spacing w:val="0"/>
                <w:sz w:val="18"/>
                <w:szCs w:val="18"/>
              </w:rPr>
              <w:t>60</w:t>
            </w:r>
            <w:r>
              <w:rPr>
                <w:rFonts w:hint="eastAsia" w:ascii="宋体" w:hAnsi="宋体" w:eastAsia="宋体" w:cs="宋体"/>
                <w:i w:val="0"/>
                <w:caps w:val="0"/>
                <w:color w:val="333333"/>
                <w:spacing w:val="0"/>
                <w:sz w:val="18"/>
                <w:szCs w:val="18"/>
              </w:rPr>
              <w:t>分为</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差</w:t>
            </w:r>
            <w:r>
              <w:rPr>
                <w:rFonts w:hint="eastAsia" w:ascii="仿宋_GB2312" w:hAnsi="微软雅黑" w:eastAsia="仿宋_GB2312" w:cs="仿宋_GB2312"/>
                <w:i w:val="0"/>
                <w:caps w:val="0"/>
                <w:color w:val="333333"/>
                <w:spacing w:val="0"/>
                <w:sz w:val="18"/>
                <w:szCs w:val="18"/>
              </w:rPr>
              <w:t>”</w:t>
            </w:r>
            <w:r>
              <w:rPr>
                <w:rFonts w:hint="eastAsia" w:ascii="宋体" w:hAnsi="宋体" w:eastAsia="宋体" w:cs="宋体"/>
                <w:i w:val="0"/>
                <w:caps w:val="0"/>
                <w:color w:val="333333"/>
                <w:spacing w:val="0"/>
                <w:sz w:val="18"/>
                <w:szCs w:val="18"/>
              </w:rPr>
              <w:t>。</w:t>
            </w:r>
          </w:p>
        </w:tc>
      </w:tr>
    </w:tbl>
    <w:p>
      <w:pPr>
        <w:widowControl/>
        <w:shd w:val="clear" w:color="auto" w:fill="FFFFFF"/>
        <w:spacing w:line="600" w:lineRule="exact"/>
        <w:ind w:firstLine="640" w:firstLineChars="200"/>
        <w:rPr>
          <w:rFonts w:hint="eastAsia" w:ascii="仿宋" w:hAnsi="仿宋" w:eastAsia="仿宋"/>
          <w:color w:val="000000"/>
          <w:sz w:val="32"/>
          <w:highlight w:val="white"/>
          <w:lang w:val="en-US"/>
        </w:rPr>
      </w:pPr>
    </w:p>
    <w:p>
      <w:pPr>
        <w:numPr>
          <w:ilvl w:val="0"/>
          <w:numId w:val="2"/>
        </w:numPr>
        <w:spacing w:beforeLines="0" w:afterLines="0" w:line="324" w:lineRule="auto"/>
        <w:ind w:firstLine="594"/>
        <w:rPr>
          <w:rFonts w:hint="eastAsia" w:ascii="仿宋" w:hAnsi="仿宋" w:eastAsia="仿宋"/>
          <w:b/>
          <w:color w:val="000000"/>
          <w:sz w:val="32"/>
          <w:highlight w:val="white"/>
          <w:lang w:val="en-US"/>
        </w:rPr>
      </w:pPr>
      <w:r>
        <w:rPr>
          <w:rFonts w:hint="eastAsia" w:ascii="仿宋" w:hAnsi="仿宋" w:eastAsia="仿宋"/>
          <w:b/>
          <w:color w:val="000000"/>
          <w:sz w:val="32"/>
          <w:highlight w:val="white"/>
          <w:lang w:val="en-US"/>
        </w:rPr>
        <w:t>财政评价项目绩效评价结果。</w:t>
      </w:r>
    </w:p>
    <w:p>
      <w:pPr>
        <w:numPr>
          <w:numId w:val="0"/>
        </w:numPr>
        <w:spacing w:beforeLines="0" w:afterLines="0" w:line="324" w:lineRule="auto"/>
        <w:ind w:firstLine="640" w:firstLineChars="200"/>
        <w:rPr>
          <w:rFonts w:hint="eastAsia" w:ascii="仿宋" w:hAnsi="仿宋" w:eastAsia="仿宋"/>
          <w:b/>
          <w:color w:val="000000"/>
          <w:sz w:val="32"/>
          <w:highlight w:val="white"/>
          <w:lang w:val="en-US" w:eastAsia="zh-CN"/>
        </w:rPr>
      </w:pPr>
      <w:r>
        <w:rPr>
          <w:rFonts w:hint="eastAsia" w:ascii="Times New Roman" w:hAnsi="Times New Roman"/>
          <w:color w:val="000000"/>
          <w:sz w:val="32"/>
          <w:highlight w:val="white"/>
          <w:lang w:val="en-US" w:eastAsia="zh-CN"/>
        </w:rPr>
        <w:t>无</w:t>
      </w:r>
    </w:p>
    <w:p>
      <w:pPr>
        <w:numPr>
          <w:ilvl w:val="0"/>
          <w:numId w:val="2"/>
        </w:numPr>
        <w:spacing w:beforeLines="0" w:afterLines="0" w:line="324" w:lineRule="auto"/>
        <w:ind w:left="0" w:leftChars="0" w:firstLine="594" w:firstLineChars="0"/>
        <w:rPr>
          <w:rFonts w:hint="eastAsia" w:ascii="仿宋" w:hAnsi="仿宋" w:eastAsia="仿宋"/>
          <w:b/>
          <w:color w:val="000000"/>
          <w:sz w:val="32"/>
          <w:highlight w:val="white"/>
          <w:lang w:val="en-US"/>
        </w:rPr>
      </w:pPr>
      <w:r>
        <w:rPr>
          <w:rFonts w:hint="eastAsia" w:ascii="仿宋" w:hAnsi="仿宋" w:eastAsia="仿宋"/>
          <w:b/>
          <w:color w:val="000000"/>
          <w:sz w:val="32"/>
          <w:highlight w:val="white"/>
          <w:lang w:val="en-US"/>
        </w:rPr>
        <w:t>部门评价项目绩效评价结果。</w:t>
      </w:r>
    </w:p>
    <w:p>
      <w:pPr>
        <w:numPr>
          <w:numId w:val="0"/>
        </w:numPr>
        <w:spacing w:beforeLines="0" w:afterLines="0" w:line="324" w:lineRule="auto"/>
        <w:ind w:left="594" w:leftChars="0"/>
        <w:rPr>
          <w:rFonts w:hint="eastAsia" w:ascii="Times New Roman" w:hAnsi="Times New Roman" w:eastAsia="宋体"/>
          <w:color w:val="000000"/>
          <w:sz w:val="32"/>
          <w:highlight w:val="white"/>
          <w:lang w:val="en-US" w:eastAsia="zh-CN"/>
        </w:rPr>
      </w:pPr>
      <w:r>
        <w:rPr>
          <w:rFonts w:hint="eastAsia" w:ascii="Times New Roman" w:hAnsi="Times New Roman"/>
          <w:color w:val="000000"/>
          <w:sz w:val="32"/>
          <w:highlight w:val="white"/>
          <w:lang w:val="en-US" w:eastAsia="zh-CN"/>
        </w:rPr>
        <w:t>无</w:t>
      </w:r>
    </w:p>
    <w:p>
      <w:pPr>
        <w:spacing w:beforeLines="0" w:afterLines="0" w:line="324" w:lineRule="auto"/>
        <w:ind w:firstLine="600"/>
        <w:rPr>
          <w:rFonts w:hint="default" w:ascii="Times New Roman" w:hAnsi="Times New Roman" w:eastAsia="Times New Roman"/>
          <w:b/>
          <w:color w:val="000000"/>
          <w:sz w:val="32"/>
          <w:highlight w:val="white"/>
          <w:lang w:val="en-US"/>
        </w:rPr>
      </w:pPr>
      <w:r>
        <w:rPr>
          <w:rFonts w:hint="eastAsia" w:ascii="黑体" w:hAnsi="黑体" w:eastAsia="黑体"/>
          <w:b/>
          <w:color w:val="000000"/>
          <w:sz w:val="32"/>
          <w:highlight w:val="white"/>
          <w:lang w:val="en-US"/>
        </w:rPr>
        <w:t>四、名词解释</w:t>
      </w:r>
    </w:p>
    <w:p>
      <w:pPr>
        <w:spacing w:beforeLines="0" w:afterLines="0" w:line="324" w:lineRule="auto"/>
        <w:ind w:firstLine="594"/>
        <w:rPr>
          <w:rFonts w:hint="eastAsia" w:ascii="仿宋" w:hAnsi="仿宋" w:eastAsia="仿宋"/>
          <w:color w:val="000000"/>
          <w:sz w:val="32"/>
          <w:highlight w:val="white"/>
          <w:lang w:val="zh-CN"/>
        </w:rPr>
      </w:pPr>
      <w:r>
        <w:rPr>
          <w:rFonts w:hint="eastAsia" w:ascii="仿宋" w:hAnsi="仿宋" w:eastAsia="仿宋"/>
          <w:color w:val="000000"/>
          <w:sz w:val="32"/>
          <w:highlight w:val="white"/>
          <w:lang w:val="zh-CN"/>
        </w:rPr>
        <w:t>1.财政拨款收入：指本级财政部门当年拨付的财政预算资金，包括一般公共预算财政拨款、政府性基金预算财政拨款和国有资本经营预算财政拨款。</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zh-CN"/>
        </w:rPr>
        <w:t>2.事业收入：指事业单位开展专业业务活动及辅助活动所取得的收入。</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3.经营收入：指事业单位在专业业务活动及辅助活动之外开展非独立核算经营活动取得的收入。</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4.上级补助收入：指事业单位从主管部门和上级单位取得的非财政补助收入。</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5.附属单位上缴收入：指事业单位附属独立核算单位按照有关规定上缴的收入。</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6.其他收入：指预算单位在</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财政拨款</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事业收入</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经营收入</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上级补助收入</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附属单位上缴收入</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等之外取得的各项收入。</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7.使用非财政拨款结余：指事业单位使用以前年度积累的非财政拨款结余弥补当年收支差额的金额。</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8.年初结转和结余：指预算单位以前年度尚未完成、结转到本年仍按原规定用途继续使用的资金。</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9.年末结转和结余：指单位按有关规定结转到下年或以后年度继续使用的资金。</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10.基本支出：指预算单位为保障其正常运转，完成日常工作任务所发生的支出，包括人员经费支出和日常公用经费支出。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11.项目支出：指预算单位为完成其特定的行政工作任务或事业发展目标所发生的支出。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12.上缴上级支出：填列事业单位按照财政部门和主管部门的规定上缴上级单位的支出。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13.经营支出：指事业单位在专业业务活动及其辅助活动之外开展非独立核算经营活动发生的支出。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14.附属单位补助支出：填列事业单位用财政补助收入之外的收入对附属单位补助发生的支出。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15.</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三公</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经费：纳入财政预决算管理的</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三公</w:t>
      </w:r>
      <w:r>
        <w:rPr>
          <w:rFonts w:hint="default" w:ascii="仿宋" w:hAnsi="仿宋" w:eastAsia="仿宋"/>
          <w:color w:val="000000"/>
          <w:sz w:val="32"/>
          <w:highlight w:val="white"/>
          <w:lang w:val="en-US"/>
        </w:rPr>
        <w:t>”</w:t>
      </w:r>
      <w:r>
        <w:rPr>
          <w:rFonts w:hint="eastAsia" w:ascii="仿宋" w:hAnsi="仿宋" w:eastAsia="仿宋"/>
          <w:color w:val="000000"/>
          <w:sz w:val="32"/>
          <w:highlight w:val="white"/>
          <w:lang w:val="en-US"/>
        </w:rPr>
        <w:t>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费、维修费、过桥过路费、保险费等支出；公务接待费反映单位按规定开支的各类公务接待（含外宾接待）支出。</w:t>
      </w:r>
    </w:p>
    <w:p>
      <w:pPr>
        <w:spacing w:beforeLines="0" w:afterLines="0" w:line="324" w:lineRule="auto"/>
        <w:ind w:firstLine="594"/>
        <w:rPr>
          <w:rFonts w:hint="eastAsia" w:ascii="仿宋" w:hAnsi="仿宋" w:eastAsia="仿宋"/>
          <w:color w:val="000000"/>
          <w:sz w:val="32"/>
          <w:highlight w:val="white"/>
          <w:lang w:val="en-US"/>
        </w:rPr>
      </w:pPr>
      <w:r>
        <w:rPr>
          <w:rFonts w:hint="eastAsia" w:ascii="仿宋" w:hAnsi="仿宋" w:eastAsia="仿宋"/>
          <w:color w:val="000000"/>
          <w:sz w:val="32"/>
          <w:highlight w:val="white"/>
          <w:lang w:val="en-US"/>
        </w:rPr>
        <w:t>16.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仿宋" w:eastAsia="仿宋"/>
          <w:color w:val="000000"/>
          <w:sz w:val="32"/>
          <w:highlight w:val="white"/>
        </w:rPr>
        <w:t>1</w:t>
      </w:r>
      <w:r>
        <w:rPr>
          <w:rFonts w:hint="eastAsia" w:ascii="仿宋" w:hAnsi="仿宋" w:eastAsia="仿宋"/>
          <w:color w:val="000000"/>
          <w:sz w:val="32"/>
          <w:highlight w:val="white"/>
          <w:lang w:val="en-US" w:eastAsia="zh-CN"/>
        </w:rPr>
        <w:t>7</w:t>
      </w:r>
      <w:r>
        <w:rPr>
          <w:rFonts w:hint="eastAsia" w:ascii="仿宋" w:hAnsi="仿宋" w:eastAsia="仿宋"/>
          <w:color w:val="000000"/>
          <w:sz w:val="32"/>
          <w:highlight w:val="white"/>
        </w:rPr>
        <w:t>.</w:t>
      </w:r>
      <w:r>
        <w:rPr>
          <w:rFonts w:hint="eastAsia" w:ascii="仿宋" w:hAnsi="Times New Roman" w:eastAsia="仿宋"/>
          <w:color w:val="000000"/>
          <w:sz w:val="32"/>
          <w:highlight w:val="white"/>
        </w:rPr>
        <w:t>社会保障和就业支出（类）行政事业单位离退休（款）机关事业单位基本养老保险缴费支出（项）：反映机关事业单位实施养老保险制度由单位缴纳的基本养老保险支出。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1</w:t>
      </w:r>
      <w:r>
        <w:rPr>
          <w:rFonts w:hint="eastAsia" w:ascii="仿宋" w:hAnsi="Times New Roman" w:eastAsia="仿宋"/>
          <w:color w:val="000000"/>
          <w:sz w:val="32"/>
          <w:highlight w:val="white"/>
          <w:lang w:val="en-US" w:eastAsia="zh-CN"/>
        </w:rPr>
        <w:t>8</w:t>
      </w:r>
      <w:r>
        <w:rPr>
          <w:rFonts w:hint="eastAsia" w:ascii="仿宋" w:hAnsi="Times New Roman" w:eastAsia="仿宋"/>
          <w:color w:val="000000"/>
          <w:sz w:val="32"/>
          <w:highlight w:val="white"/>
        </w:rPr>
        <w:t>.社会保障和就业支出（类）行政事业单位离退休（款）机关事业单位职业年金缴费支出（项）：指机关事业单位实施养老保险制度由单位实际缴纳的职业年金支出。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1</w:t>
      </w:r>
      <w:r>
        <w:rPr>
          <w:rFonts w:hint="eastAsia" w:ascii="仿宋" w:hAnsi="Times New Roman" w:eastAsia="仿宋"/>
          <w:color w:val="000000"/>
          <w:sz w:val="32"/>
          <w:highlight w:val="white"/>
          <w:lang w:val="en-US" w:eastAsia="zh-CN"/>
        </w:rPr>
        <w:t>9</w:t>
      </w:r>
      <w:r>
        <w:rPr>
          <w:rFonts w:hint="eastAsia" w:ascii="仿宋" w:hAnsi="Times New Roman" w:eastAsia="仿宋"/>
          <w:color w:val="000000"/>
          <w:sz w:val="32"/>
          <w:highlight w:val="white"/>
        </w:rPr>
        <w:t>.医疗卫生与计划生育支出（类）行政事业单位医疗（款）公务员医疗补助（项）：反映财政部门集中安排的公务员医疗补助经费。</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lang w:val="en-US" w:eastAsia="zh-CN"/>
        </w:rPr>
        <w:t>20</w:t>
      </w:r>
      <w:r>
        <w:rPr>
          <w:rFonts w:hint="eastAsia" w:ascii="仿宋" w:hAnsi="Times New Roman" w:eastAsia="仿宋"/>
          <w:color w:val="000000"/>
          <w:sz w:val="32"/>
          <w:highlight w:val="white"/>
        </w:rPr>
        <w:t>、医疗卫生与计划生育支出（类）行政事业单位医疗（款）其他行政事业单位医疗支出（项）：指其他用于行政事业单位医疗方面的支出。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lang w:val="en-US" w:eastAsia="zh-CN"/>
        </w:rPr>
        <w:t>21</w:t>
      </w:r>
      <w:r>
        <w:rPr>
          <w:rFonts w:hint="eastAsia" w:ascii="仿宋" w:hAnsi="Times New Roman" w:eastAsia="仿宋"/>
          <w:color w:val="000000"/>
          <w:sz w:val="32"/>
          <w:highlight w:val="white"/>
        </w:rPr>
        <w:t>.一般公共服务支出（类）政府办公厅（室）及相关机构事务（款）行政运行（项）：反映行政单位（包括实行公务员管理的事业单位）的基本支出。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2</w:t>
      </w:r>
      <w:r>
        <w:rPr>
          <w:rFonts w:hint="eastAsia" w:ascii="仿宋" w:hAnsi="Times New Roman" w:eastAsia="仿宋"/>
          <w:color w:val="000000"/>
          <w:sz w:val="32"/>
          <w:highlight w:val="white"/>
        </w:rPr>
        <w:t>.一般公共服务支出（类）政府办公厅（室）及相关机构事务（款）一般行政管理事务：反映行政单位（包括实行公务员管理的事业单位）未单独设置项级科目的其他项目支出。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3</w:t>
      </w:r>
      <w:r>
        <w:rPr>
          <w:rFonts w:hint="eastAsia" w:ascii="仿宋" w:hAnsi="Times New Roman" w:eastAsia="仿宋"/>
          <w:color w:val="000000"/>
          <w:sz w:val="32"/>
          <w:highlight w:val="white"/>
        </w:rPr>
        <w:t>.一般公共服务支出（类）政府办公厅（室）及相关机构事务（款）专项业务活动：反映各级政府举行各类重大活动、召开重要会议（如国务院一类会议、国庆招待会、全国劳模大会）的支出，政府机关房地产管理、公务用车管理等方面的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4</w:t>
      </w:r>
      <w:r>
        <w:rPr>
          <w:rFonts w:hint="eastAsia" w:ascii="仿宋" w:hAnsi="Times New Roman" w:eastAsia="仿宋"/>
          <w:color w:val="000000"/>
          <w:sz w:val="32"/>
          <w:highlight w:val="white"/>
        </w:rPr>
        <w:t>.一般公共服务支出（类）政府办公厅（室）及相关机构事务（款）其他政府办公厅（室）及相关机构事务支出：反映除上述项目以外的其他政府办公厅（室）及相关机构事务支出。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5</w:t>
      </w:r>
      <w:r>
        <w:rPr>
          <w:rFonts w:hint="eastAsia" w:ascii="仿宋" w:hAnsi="Times New Roman" w:eastAsia="仿宋"/>
          <w:color w:val="000000"/>
          <w:sz w:val="32"/>
          <w:highlight w:val="white"/>
        </w:rPr>
        <w:t>.文化旅游体育与传媒支出（类）文化和旅游（款）其他文化和旅游支出（项）：</w:t>
      </w:r>
      <w:r>
        <w:rPr>
          <w:rFonts w:hint="eastAsia" w:ascii="仿宋" w:hAnsi="Times New Roman" w:eastAsia="仿宋"/>
          <w:color w:val="000000"/>
          <w:sz w:val="32"/>
          <w:highlight w:val="white"/>
          <w:lang w:eastAsia="zh-CN"/>
        </w:rPr>
        <w:t>反映</w:t>
      </w:r>
      <w:r>
        <w:rPr>
          <w:rFonts w:hint="eastAsia" w:ascii="仿宋" w:hAnsi="Times New Roman" w:eastAsia="仿宋"/>
          <w:color w:val="000000"/>
          <w:sz w:val="32"/>
          <w:highlight w:val="white"/>
        </w:rPr>
        <w:t>除上述项目以外</w:t>
      </w:r>
      <w:r>
        <w:rPr>
          <w:rFonts w:hint="eastAsia" w:ascii="仿宋" w:hAnsi="Times New Roman" w:eastAsia="仿宋"/>
          <w:color w:val="000000"/>
          <w:sz w:val="32"/>
          <w:highlight w:val="white"/>
          <w:lang w:eastAsia="zh-CN"/>
        </w:rPr>
        <w:t>其他用于</w:t>
      </w:r>
      <w:r>
        <w:rPr>
          <w:rFonts w:hint="eastAsia" w:ascii="仿宋" w:hAnsi="Times New Roman" w:eastAsia="仿宋"/>
          <w:color w:val="000000"/>
          <w:sz w:val="32"/>
          <w:highlight w:val="white"/>
        </w:rPr>
        <w:t>文化和旅游</w:t>
      </w:r>
      <w:r>
        <w:rPr>
          <w:rFonts w:hint="eastAsia" w:ascii="仿宋" w:hAnsi="Times New Roman" w:eastAsia="仿宋"/>
          <w:color w:val="000000"/>
          <w:sz w:val="32"/>
          <w:highlight w:val="white"/>
          <w:lang w:eastAsia="zh-CN"/>
        </w:rPr>
        <w:t>方面的</w:t>
      </w:r>
      <w:r>
        <w:rPr>
          <w:rFonts w:hint="eastAsia" w:ascii="仿宋" w:hAnsi="Times New Roman" w:eastAsia="仿宋"/>
          <w:color w:val="000000"/>
          <w:sz w:val="32"/>
          <w:highlight w:val="white"/>
        </w:rPr>
        <w:t>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6</w:t>
      </w:r>
      <w:r>
        <w:rPr>
          <w:rFonts w:hint="eastAsia" w:ascii="仿宋" w:hAnsi="Times New Roman" w:eastAsia="仿宋"/>
          <w:color w:val="000000"/>
          <w:sz w:val="32"/>
          <w:highlight w:val="white"/>
        </w:rPr>
        <w:t>、住房保障支出(类)住房改革支出(款)住房公积金（项）:反映行政事业单位按人力资源和社会保障部、财政部规定的基本工资和津贴补贴以及规定比例为职工缴纳的住房公积金。</w:t>
      </w:r>
      <w:r>
        <w:rPr>
          <w:rFonts w:hint="default" w:ascii="仿宋" w:hAnsi="Times New Roman" w:eastAsia="仿宋"/>
          <w:color w:val="000000"/>
          <w:sz w:val="32"/>
          <w:highlight w:val="white"/>
        </w:rPr>
        <w:t> </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r>
        <w:rPr>
          <w:rFonts w:hint="eastAsia" w:ascii="仿宋" w:hAnsi="Times New Roman" w:eastAsia="仿宋"/>
          <w:color w:val="000000"/>
          <w:sz w:val="32"/>
          <w:highlight w:val="white"/>
        </w:rPr>
        <w:t>2</w:t>
      </w:r>
      <w:r>
        <w:rPr>
          <w:rFonts w:hint="eastAsia" w:ascii="仿宋" w:hAnsi="Times New Roman" w:eastAsia="仿宋"/>
          <w:color w:val="000000"/>
          <w:sz w:val="32"/>
          <w:highlight w:val="white"/>
          <w:lang w:val="en-US" w:eastAsia="zh-CN"/>
        </w:rPr>
        <w:t>7</w:t>
      </w:r>
      <w:r>
        <w:rPr>
          <w:rFonts w:hint="eastAsia" w:ascii="仿宋" w:hAnsi="Times New Roman" w:eastAsia="仿宋"/>
          <w:color w:val="000000"/>
          <w:sz w:val="32"/>
          <w:highlight w:val="white"/>
        </w:rPr>
        <w:t>.其他支出（类）其他政府性基金及对应专项债务收入安排的支出（款）其他政府性基金及对应专项债务收入安排的支出（项）：反映政府性基金对应专项债务收入安排的支出。</w:t>
      </w:r>
    </w:p>
    <w:p>
      <w:pPr>
        <w:autoSpaceDE w:val="0"/>
        <w:autoSpaceDN w:val="0"/>
        <w:adjustRightInd w:val="0"/>
        <w:spacing w:beforeLines="0" w:afterLines="0" w:line="324" w:lineRule="auto"/>
        <w:ind w:firstLine="594"/>
        <w:rPr>
          <w:rFonts w:hint="default" w:ascii="仿宋" w:hAnsi="Times New Roman" w:eastAsia="仿宋"/>
          <w:color w:val="000000"/>
          <w:sz w:val="32"/>
          <w:highlight w:val="white"/>
        </w:rPr>
      </w:pPr>
    </w:p>
    <w:p>
      <w:pPr>
        <w:autoSpaceDE w:val="0"/>
        <w:autoSpaceDN w:val="0"/>
        <w:adjustRightInd w:val="0"/>
        <w:spacing w:beforeLines="0" w:afterLines="0" w:line="324" w:lineRule="auto"/>
        <w:ind w:firstLine="4160" w:firstLineChars="1300"/>
        <w:jc w:val="left"/>
        <w:rPr>
          <w:rFonts w:hint="default" w:ascii="仿宋" w:hAnsi="Times New Roman" w:eastAsia="仿宋"/>
          <w:color w:val="000000"/>
          <w:sz w:val="32"/>
          <w:highlight w:val="white"/>
        </w:rPr>
      </w:pPr>
      <w:r>
        <w:rPr>
          <w:rFonts w:hint="eastAsia" w:ascii="仿宋" w:hAnsi="Times New Roman" w:eastAsia="仿宋"/>
          <w:color w:val="000000"/>
          <w:sz w:val="32"/>
          <w:highlight w:val="white"/>
        </w:rPr>
        <w:t>遂昌县</w:t>
      </w:r>
      <w:r>
        <w:rPr>
          <w:rFonts w:hint="eastAsia" w:ascii="仿宋" w:hAnsi="Times New Roman" w:eastAsia="仿宋"/>
          <w:color w:val="000000"/>
          <w:sz w:val="32"/>
          <w:highlight w:val="white"/>
          <w:lang w:eastAsia="zh-CN"/>
        </w:rPr>
        <w:t>公务用车服务</w:t>
      </w:r>
      <w:r>
        <w:rPr>
          <w:rFonts w:hint="eastAsia" w:ascii="仿宋" w:hAnsi="Times New Roman" w:eastAsia="仿宋"/>
          <w:color w:val="000000"/>
          <w:sz w:val="32"/>
          <w:highlight w:val="white"/>
        </w:rPr>
        <w:t>中心</w:t>
      </w:r>
    </w:p>
    <w:p>
      <w:pPr>
        <w:autoSpaceDE w:val="0"/>
        <w:autoSpaceDN w:val="0"/>
        <w:adjustRightInd w:val="0"/>
        <w:spacing w:beforeLines="0" w:afterLines="0" w:line="324" w:lineRule="auto"/>
        <w:ind w:firstLine="4752" w:firstLineChars="1485"/>
        <w:rPr>
          <w:rFonts w:hint="default" w:ascii="仿宋" w:hAnsi="Times New Roman" w:eastAsia="仿宋"/>
          <w:color w:val="000000"/>
          <w:sz w:val="32"/>
          <w:highlight w:val="white"/>
        </w:rPr>
      </w:pPr>
      <w:r>
        <w:rPr>
          <w:rFonts w:hint="eastAsia" w:ascii="仿宋" w:hAnsi="Times New Roman" w:eastAsia="仿宋"/>
          <w:color w:val="000000"/>
          <w:sz w:val="32"/>
          <w:highlight w:val="white"/>
        </w:rPr>
        <w:t>202</w:t>
      </w:r>
      <w:r>
        <w:rPr>
          <w:rFonts w:hint="eastAsia" w:ascii="仿宋" w:hAnsi="Times New Roman" w:eastAsia="仿宋"/>
          <w:color w:val="000000"/>
          <w:sz w:val="32"/>
          <w:highlight w:val="white"/>
          <w:lang w:val="en-US" w:eastAsia="zh-CN"/>
        </w:rPr>
        <w:t>2</w:t>
      </w:r>
      <w:r>
        <w:rPr>
          <w:rFonts w:hint="eastAsia" w:ascii="仿宋" w:hAnsi="Times New Roman" w:eastAsia="仿宋"/>
          <w:color w:val="000000"/>
          <w:sz w:val="32"/>
          <w:highlight w:val="white"/>
        </w:rPr>
        <w:t>年9月1</w:t>
      </w:r>
      <w:r>
        <w:rPr>
          <w:rFonts w:hint="eastAsia" w:ascii="仿宋" w:hAnsi="Times New Roman" w:eastAsia="仿宋"/>
          <w:color w:val="000000"/>
          <w:sz w:val="32"/>
          <w:highlight w:val="white"/>
          <w:lang w:val="en-US" w:eastAsia="zh-CN"/>
        </w:rPr>
        <w:t>5</w:t>
      </w:r>
      <w:r>
        <w:rPr>
          <w:rFonts w:hint="eastAsia" w:ascii="仿宋" w:hAnsi="Times New Roman" w:eastAsia="仿宋"/>
          <w:color w:val="000000"/>
          <w:sz w:val="32"/>
          <w:highlight w:val="white"/>
        </w:rPr>
        <w:t>日</w:t>
      </w:r>
    </w:p>
    <w:p>
      <w:pPr>
        <w:spacing w:beforeLines="0" w:afterLines="0" w:line="324" w:lineRule="auto"/>
        <w:ind w:firstLine="594"/>
        <w:rPr>
          <w:rFonts w:hint="eastAsia" w:ascii="仿宋_GB2312" w:hAnsi="仿宋_GB2312" w:eastAsia="仿宋_GB2312"/>
          <w:color w:val="000000"/>
          <w:sz w:val="32"/>
          <w:highlight w:val="white"/>
          <w:lang w:val="en-US"/>
        </w:rPr>
      </w:pPr>
    </w:p>
    <w:p>
      <w:pPr>
        <w:spacing w:beforeLines="0" w:afterLines="0"/>
        <w:jc w:val="left"/>
        <w:rPr>
          <w:rFonts w:hint="eastAsia" w:ascii="宋体" w:hAnsi="宋体"/>
          <w:color w:val="auto"/>
          <w:kern w:val="0"/>
          <w:sz w:val="18"/>
          <w:lang w:val="zh-CN"/>
        </w:rPr>
      </w:pPr>
    </w:p>
    <w:p>
      <w:pPr>
        <w:spacing w:beforeLines="0" w:afterLines="0"/>
        <w:jc w:val="left"/>
        <w:rPr>
          <w:rFonts w:hint="eastAsia" w:ascii="宋体" w:hAnsi="宋体"/>
          <w:color w:val="auto"/>
          <w:kern w:val="0"/>
          <w:sz w:val="18"/>
          <w:lang w:val="zh-CN"/>
        </w:rPr>
      </w:pPr>
    </w:p>
    <w:p>
      <w:pPr>
        <w:spacing w:beforeLines="0" w:afterLines="0"/>
        <w:jc w:val="left"/>
        <w:rPr>
          <w:rFonts w:hint="eastAsia" w:ascii="黑体" w:hAnsi="黑体" w:eastAsia="黑体"/>
          <w:color w:val="auto"/>
          <w:spacing w:val="15"/>
          <w:sz w:val="44"/>
          <w:lang w:val="en-US"/>
        </w:rPr>
      </w:pPr>
    </w:p>
    <w:p>
      <w:pPr>
        <w:spacing w:beforeLines="0" w:afterLines="0"/>
        <w:jc w:val="left"/>
        <w:rPr>
          <w:rFonts w:hint="eastAsia" w:ascii="宋体" w:hAnsi="宋体"/>
          <w:color w:val="auto"/>
          <w:kern w:val="0"/>
          <w:sz w:val="18"/>
          <w:lang w:val="zh-CN"/>
        </w:rPr>
      </w:pPr>
    </w:p>
    <w:p/>
    <w:sectPr>
      <w:pgSz w:w="11905" w:h="16838"/>
      <w:pgMar w:top="1440" w:right="1800" w:bottom="1440" w:left="1800" w:header="720" w:footer="720" w:gutter="0"/>
      <w:paperSrc/>
      <w:lnNumType w:countBy="0" w:distance="36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ÂËÎ">
    <w:altName w:val="RomanS"/>
    <w:panose1 w:val="00000000000000000000"/>
    <w:charset w:val="00"/>
    <w:family w:val="auto"/>
    <w:pitch w:val="default"/>
    <w:sig w:usb0="00000000" w:usb1="00000000" w:usb2="00000000" w:usb3="00000000" w:csb0="00000001" w:csb1="00000000"/>
  </w:font>
  <w:font w:name="Wingdings 2">
    <w:panose1 w:val="05020102010507070707"/>
    <w:charset w:val="00"/>
    <w:family w:val="auto"/>
    <w:pitch w:val="default"/>
    <w:sig w:usb0="00000000" w:usb1="00000000" w:usb2="00000000" w:usb3="00000000" w:csb0="80000000" w:csb1="00000000"/>
  </w:font>
  <w:font w:name="RomanS">
    <w:panose1 w:val="02000400000000000000"/>
    <w:charset w:val="00"/>
    <w:family w:val="auto"/>
    <w:pitch w:val="default"/>
    <w:sig w:usb0="0000020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8219DA"/>
    <w:multiLevelType w:val="singleLevel"/>
    <w:tmpl w:val="DB8219DA"/>
    <w:lvl w:ilvl="0" w:tentative="0">
      <w:start w:val="8"/>
      <w:numFmt w:val="chineseCounting"/>
      <w:suff w:val="nothing"/>
      <w:lvlText w:val="（%1）"/>
      <w:lvlJc w:val="left"/>
      <w:rPr>
        <w:rFonts w:hint="eastAsia"/>
      </w:rPr>
    </w:lvl>
  </w:abstractNum>
  <w:abstractNum w:abstractNumId="1">
    <w:nsid w:val="F568B484"/>
    <w:multiLevelType w:val="singleLevel"/>
    <w:tmpl w:val="F568B484"/>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224078"/>
    <w:rsid w:val="05BF784C"/>
    <w:rsid w:val="12745260"/>
    <w:rsid w:val="22C81CFA"/>
    <w:rsid w:val="2BD9628F"/>
    <w:rsid w:val="343D1A8C"/>
    <w:rsid w:val="3DDE2A95"/>
    <w:rsid w:val="4231302D"/>
    <w:rsid w:val="49EC75AD"/>
    <w:rsid w:val="72946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2022-09-14T07:59:07Z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